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0" w:before="0" w:line="320" w:lineRule="auto"/>
        <w:rPr>
          <w:b w:val="1"/>
          <w:color w:val="222222"/>
          <w:sz w:val="24"/>
          <w:szCs w:val="24"/>
        </w:rPr>
      </w:pPr>
      <w:bookmarkStart w:colFirst="0" w:colLast="0" w:name="_4e6yxwpaul05" w:id="0"/>
      <w:bookmarkEnd w:id="0"/>
      <w:r w:rsidDel="00000000" w:rsidR="00000000" w:rsidRPr="00000000">
        <w:rPr>
          <w:rtl w:val="0"/>
        </w:rPr>
      </w:r>
    </w:p>
    <w:p w:rsidR="00000000" w:rsidDel="00000000" w:rsidP="00000000" w:rsidRDefault="00000000" w:rsidRPr="00000000" w14:paraId="00000002">
      <w:pPr>
        <w:pStyle w:val="Heading3"/>
        <w:keepNext w:val="0"/>
        <w:keepLines w:val="0"/>
        <w:shd w:fill="ffffff" w:val="clear"/>
        <w:spacing w:after="240" w:before="240" w:line="276" w:lineRule="auto"/>
        <w:rPr>
          <w:b w:val="1"/>
          <w:color w:val="222222"/>
          <w:sz w:val="24"/>
          <w:szCs w:val="24"/>
        </w:rPr>
      </w:pPr>
      <w:bookmarkStart w:colFirst="0" w:colLast="0" w:name="_7r2qyzeuh3bd" w:id="1"/>
      <w:bookmarkEnd w:id="1"/>
      <w:r w:rsidDel="00000000" w:rsidR="00000000" w:rsidRPr="00000000">
        <w:rPr>
          <w:b w:val="1"/>
          <w:color w:val="222222"/>
          <w:sz w:val="24"/>
          <w:szCs w:val="24"/>
          <w:rtl w:val="0"/>
        </w:rPr>
        <w:t xml:space="preserve">Referring to the Community Queue</w:t>
      </w:r>
    </w:p>
    <w:p w:rsidR="00000000" w:rsidDel="00000000" w:rsidP="00000000" w:rsidRDefault="00000000" w:rsidRPr="00000000" w14:paraId="00000003">
      <w:pPr>
        <w:shd w:fill="ffffff" w:val="clear"/>
        <w:spacing w:after="240" w:before="240" w:line="276" w:lineRule="auto"/>
        <w:rPr>
          <w:i w:val="1"/>
          <w:color w:val="555555"/>
        </w:rPr>
      </w:pPr>
      <w:r w:rsidDel="00000000" w:rsidR="00000000" w:rsidRPr="00000000">
        <w:rPr>
          <w:color w:val="555555"/>
          <w:rtl w:val="0"/>
        </w:rPr>
        <w:t xml:space="preserve">After completing the Assessment, you will see an option to refer the client to the </w:t>
      </w:r>
      <w:r w:rsidDel="00000000" w:rsidR="00000000" w:rsidRPr="00000000">
        <w:rPr>
          <w:i w:val="1"/>
          <w:color w:val="555555"/>
          <w:rtl w:val="0"/>
        </w:rPr>
        <w:t xml:space="preserve">Community Queue (figure 1). </w:t>
      </w:r>
      <w:r w:rsidDel="00000000" w:rsidR="00000000" w:rsidRPr="00000000">
        <w:rPr>
          <w:color w:val="555555"/>
          <w:rtl w:val="0"/>
        </w:rPr>
        <w:t xml:space="preserve">For some assessments, you will see a toggle for more than one queue. Turn on the toggle for the resources the client is eligible for. </w:t>
      </w:r>
      <w:r w:rsidDel="00000000" w:rsidR="00000000" w:rsidRPr="00000000">
        <w:rPr>
          <w:i w:val="1"/>
          <w:color w:val="555555"/>
        </w:rPr>
        <w:drawing>
          <wp:inline distB="114300" distT="114300" distL="114300" distR="114300">
            <wp:extent cx="5192938" cy="2405063"/>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192938" cy="240506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after="240" w:before="240" w:lineRule="auto"/>
        <w:jc w:val="center"/>
        <w:rPr/>
      </w:pPr>
      <w:r w:rsidDel="00000000" w:rsidR="00000000" w:rsidRPr="00000000">
        <w:rPr>
          <w:rtl w:val="0"/>
        </w:rPr>
      </w:r>
    </w:p>
    <w:p w:rsidR="00000000" w:rsidDel="00000000" w:rsidP="00000000" w:rsidRDefault="00000000" w:rsidRPr="00000000" w14:paraId="00000005">
      <w:pPr>
        <w:shd w:fill="ffffff" w:val="clear"/>
        <w:spacing w:after="240" w:before="240" w:lineRule="auto"/>
        <w:jc w:val="center"/>
        <w:rPr>
          <w:color w:val="555555"/>
        </w:rPr>
      </w:pPr>
      <w:r w:rsidDel="00000000" w:rsidR="00000000" w:rsidRPr="00000000">
        <w:rPr>
          <w:rtl w:val="0"/>
        </w:rPr>
        <w:tab/>
      </w:r>
      <w:r w:rsidDel="00000000" w:rsidR="00000000" w:rsidRPr="00000000">
        <w:rPr>
          <w:color w:val="444444"/>
          <w:rtl w:val="0"/>
        </w:rPr>
        <w:t xml:space="preserve">figure 1</w:t>
      </w:r>
      <w:r w:rsidDel="00000000" w:rsidR="00000000" w:rsidRPr="00000000">
        <w:rPr>
          <w:rtl w:val="0"/>
        </w:rPr>
      </w:r>
    </w:p>
    <w:p w:rsidR="00000000" w:rsidDel="00000000" w:rsidP="00000000" w:rsidRDefault="00000000" w:rsidRPr="00000000" w14:paraId="00000006">
      <w:pPr>
        <w:shd w:fill="ffffff" w:val="clear"/>
        <w:spacing w:after="240" w:before="240" w:lineRule="auto"/>
        <w:rPr>
          <w:color w:val="555555"/>
        </w:rPr>
      </w:pPr>
      <w:r w:rsidDel="00000000" w:rsidR="00000000" w:rsidRPr="00000000">
        <w:rPr>
          <w:color w:val="555555"/>
          <w:rtl w:val="0"/>
        </w:rPr>
        <w:t xml:space="preserve">On the next screen, enter any applicable notes and click</w:t>
      </w:r>
      <w:r w:rsidDel="00000000" w:rsidR="00000000" w:rsidRPr="00000000">
        <w:rPr>
          <w:i w:val="1"/>
          <w:color w:val="555555"/>
          <w:rtl w:val="0"/>
        </w:rPr>
        <w:t xml:space="preserve"> Send Referral (figure 2)</w:t>
      </w:r>
      <w:r w:rsidDel="00000000" w:rsidR="00000000" w:rsidRPr="00000000">
        <w:rPr>
          <w:color w:val="555555"/>
          <w:rtl w:val="0"/>
        </w:rPr>
        <w:t xml:space="preserve">.</w:t>
      </w:r>
    </w:p>
    <w:p w:rsidR="00000000" w:rsidDel="00000000" w:rsidP="00000000" w:rsidRDefault="00000000" w:rsidRPr="00000000" w14:paraId="00000007">
      <w:pPr>
        <w:shd w:fill="ffffff" w:val="clear"/>
        <w:spacing w:after="240" w:before="240" w:lineRule="auto"/>
        <w:jc w:val="center"/>
        <w:rPr>
          <w:color w:val="555555"/>
          <w:sz w:val="24"/>
          <w:szCs w:val="24"/>
        </w:rPr>
      </w:pPr>
      <w:r w:rsidDel="00000000" w:rsidR="00000000" w:rsidRPr="00000000">
        <w:rPr>
          <w:color w:val="555555"/>
          <w:sz w:val="24"/>
          <w:szCs w:val="24"/>
          <w:rtl w:val="0"/>
        </w:rPr>
        <w:t xml:space="preserve"> </w:t>
      </w:r>
      <w:r w:rsidDel="00000000" w:rsidR="00000000" w:rsidRPr="00000000">
        <w:rPr>
          <w:color w:val="555555"/>
          <w:sz w:val="24"/>
          <w:szCs w:val="24"/>
        </w:rPr>
        <w:drawing>
          <wp:inline distB="114300" distT="114300" distL="114300" distR="114300">
            <wp:extent cx="3952361" cy="2659192"/>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952361" cy="265919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hd w:fill="ffffff" w:val="clear"/>
        <w:spacing w:after="240" w:before="240" w:lineRule="auto"/>
        <w:jc w:val="center"/>
        <w:rPr>
          <w:color w:val="555555"/>
          <w:sz w:val="24"/>
          <w:szCs w:val="24"/>
        </w:rPr>
      </w:pPr>
      <w:r w:rsidDel="00000000" w:rsidR="00000000" w:rsidRPr="00000000">
        <w:rPr>
          <w:color w:val="555555"/>
          <w:sz w:val="24"/>
          <w:szCs w:val="24"/>
          <w:rtl w:val="0"/>
        </w:rPr>
        <w:t xml:space="preserve">figure 2</w:t>
      </w:r>
    </w:p>
    <w:p w:rsidR="00000000" w:rsidDel="00000000" w:rsidP="00000000" w:rsidRDefault="00000000" w:rsidRPr="00000000" w14:paraId="00000009">
      <w:pPr>
        <w:shd w:fill="ffffff" w:val="clear"/>
        <w:spacing w:after="240" w:before="240" w:lineRule="auto"/>
        <w:rPr>
          <w:b w:val="1"/>
          <w:color w:val="222222"/>
          <w:sz w:val="24"/>
          <w:szCs w:val="24"/>
        </w:rPr>
      </w:pPr>
      <w:r w:rsidDel="00000000" w:rsidR="00000000" w:rsidRPr="00000000">
        <w:rPr>
          <w:b w:val="1"/>
          <w:color w:val="222222"/>
          <w:sz w:val="24"/>
          <w:szCs w:val="24"/>
          <w:rtl w:val="0"/>
        </w:rPr>
        <w:t xml:space="preserve">Using the Community Queue</w:t>
      </w:r>
    </w:p>
    <w:p w:rsidR="00000000" w:rsidDel="00000000" w:rsidP="00000000" w:rsidRDefault="00000000" w:rsidRPr="00000000" w14:paraId="0000000A">
      <w:pPr>
        <w:shd w:fill="ffffff" w:val="clear"/>
        <w:spacing w:after="240" w:before="240" w:lineRule="auto"/>
        <w:rPr>
          <w:color w:val="555555"/>
        </w:rPr>
      </w:pPr>
      <w:r w:rsidDel="00000000" w:rsidR="00000000" w:rsidRPr="00000000">
        <w:rPr>
          <w:color w:val="555555"/>
          <w:rtl w:val="0"/>
        </w:rPr>
        <w:t xml:space="preserve">To view the Community Queue, click on </w:t>
      </w:r>
      <w:r w:rsidDel="00000000" w:rsidR="00000000" w:rsidRPr="00000000">
        <w:rPr>
          <w:i w:val="1"/>
          <w:color w:val="555555"/>
          <w:rtl w:val="0"/>
        </w:rPr>
        <w:t xml:space="preserve">Search</w:t>
      </w:r>
      <w:r w:rsidDel="00000000" w:rsidR="00000000" w:rsidRPr="00000000">
        <w:rPr>
          <w:color w:val="555555"/>
          <w:rtl w:val="0"/>
        </w:rPr>
        <w:t xml:space="preserve">, select the </w:t>
      </w:r>
      <w:r w:rsidDel="00000000" w:rsidR="00000000" w:rsidRPr="00000000">
        <w:rPr>
          <w:i w:val="1"/>
          <w:color w:val="555555"/>
          <w:rtl w:val="0"/>
        </w:rPr>
        <w:t xml:space="preserve">Referrals</w:t>
      </w:r>
      <w:r w:rsidDel="00000000" w:rsidR="00000000" w:rsidRPr="00000000">
        <w:rPr>
          <w:color w:val="555555"/>
          <w:rtl w:val="0"/>
        </w:rPr>
        <w:t xml:space="preserve"> tab (figure 3), then select the </w:t>
      </w:r>
      <w:r w:rsidDel="00000000" w:rsidR="00000000" w:rsidRPr="00000000">
        <w:rPr>
          <w:i w:val="1"/>
          <w:color w:val="555555"/>
          <w:rtl w:val="0"/>
        </w:rPr>
        <w:t xml:space="preserve">Community Queue</w:t>
      </w:r>
      <w:r w:rsidDel="00000000" w:rsidR="00000000" w:rsidRPr="00000000">
        <w:rPr>
          <w:color w:val="555555"/>
          <w:rtl w:val="0"/>
        </w:rPr>
        <w:t xml:space="preserve">.</w:t>
      </w:r>
    </w:p>
    <w:p w:rsidR="00000000" w:rsidDel="00000000" w:rsidP="00000000" w:rsidRDefault="00000000" w:rsidRPr="00000000" w14:paraId="0000000B">
      <w:pPr>
        <w:shd w:fill="ffffff" w:val="clear"/>
        <w:spacing w:after="240" w:before="240" w:lineRule="auto"/>
        <w:rPr>
          <w:color w:val="444444"/>
        </w:rPr>
      </w:pPr>
      <w:r w:rsidDel="00000000" w:rsidR="00000000" w:rsidRPr="00000000">
        <w:rPr>
          <w:color w:val="444444"/>
          <w:rtl w:val="0"/>
        </w:rPr>
        <w:t xml:space="preserve">There are two separate Community Queues. 1) Family Shelter Queue and 2) Active List. You can navigate between the two queues by clicking the name of the queue. The queue you are currently on will be blue (figure 4). </w:t>
      </w:r>
    </w:p>
    <w:p w:rsidR="00000000" w:rsidDel="00000000" w:rsidP="00000000" w:rsidRDefault="00000000" w:rsidRPr="00000000" w14:paraId="0000000C">
      <w:pPr>
        <w:shd w:fill="ffffff" w:val="clear"/>
        <w:spacing w:after="240" w:before="240" w:lineRule="auto"/>
        <w:rPr>
          <w:i w:val="1"/>
          <w:color w:val="444444"/>
        </w:rPr>
      </w:pPr>
      <w:r w:rsidDel="00000000" w:rsidR="00000000" w:rsidRPr="00000000">
        <w:rPr>
          <w:i w:val="1"/>
          <w:color w:val="444444"/>
          <w:rtl w:val="0"/>
        </w:rPr>
        <w:t xml:space="preserve">Note: If a client is on both queues and removed off of one, they still remain on the other queue.</w:t>
      </w:r>
    </w:p>
    <w:p w:rsidR="00000000" w:rsidDel="00000000" w:rsidP="00000000" w:rsidRDefault="00000000" w:rsidRPr="00000000" w14:paraId="0000000D">
      <w:pPr>
        <w:shd w:fill="ffffff" w:val="clear"/>
        <w:spacing w:after="240" w:before="240" w:lineRule="auto"/>
        <w:jc w:val="center"/>
        <w:rPr>
          <w:color w:val="555555"/>
          <w:sz w:val="24"/>
          <w:szCs w:val="24"/>
        </w:rPr>
      </w:pPr>
      <w:r w:rsidDel="00000000" w:rsidR="00000000" w:rsidRPr="00000000">
        <w:rPr>
          <w:color w:val="555555"/>
          <w:sz w:val="24"/>
          <w:szCs w:val="24"/>
          <w:rtl w:val="0"/>
        </w:rPr>
        <w:t xml:space="preserve"> </w:t>
      </w:r>
      <w:r w:rsidDel="00000000" w:rsidR="00000000" w:rsidRPr="00000000">
        <w:rPr>
          <w:color w:val="555555"/>
          <w:sz w:val="24"/>
          <w:szCs w:val="24"/>
        </w:rPr>
        <w:drawing>
          <wp:inline distB="114300" distT="114300" distL="114300" distR="114300">
            <wp:extent cx="3564988" cy="2064869"/>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564988" cy="206486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hd w:fill="ffffff" w:val="clear"/>
        <w:spacing w:after="240" w:before="240" w:lineRule="auto"/>
        <w:jc w:val="center"/>
        <w:rPr>
          <w:color w:val="555555"/>
          <w:sz w:val="24"/>
          <w:szCs w:val="24"/>
        </w:rPr>
      </w:pPr>
      <w:r w:rsidDel="00000000" w:rsidR="00000000" w:rsidRPr="00000000">
        <w:rPr>
          <w:color w:val="555555"/>
          <w:sz w:val="24"/>
          <w:szCs w:val="24"/>
          <w:rtl w:val="0"/>
        </w:rPr>
        <w:t xml:space="preserve">figure 3</w:t>
      </w:r>
    </w:p>
    <w:p w:rsidR="00000000" w:rsidDel="00000000" w:rsidP="00000000" w:rsidRDefault="00000000" w:rsidRPr="00000000" w14:paraId="0000000F">
      <w:pPr>
        <w:shd w:fill="ffffff" w:val="clear"/>
        <w:spacing w:after="240" w:before="240" w:lineRule="auto"/>
        <w:jc w:val="center"/>
        <w:rPr>
          <w:color w:val="555555"/>
          <w:sz w:val="24"/>
          <w:szCs w:val="24"/>
        </w:rPr>
      </w:pPr>
      <w:r w:rsidDel="00000000" w:rsidR="00000000" w:rsidRPr="00000000">
        <w:rPr>
          <w:color w:val="555555"/>
          <w:sz w:val="24"/>
          <w:szCs w:val="24"/>
        </w:rPr>
        <w:drawing>
          <wp:inline distB="114300" distT="114300" distL="114300" distR="114300">
            <wp:extent cx="4148138" cy="2365898"/>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148138" cy="236589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hd w:fill="ffffff" w:val="clear"/>
        <w:spacing w:after="240" w:before="240" w:lineRule="auto"/>
        <w:jc w:val="center"/>
        <w:rPr>
          <w:color w:val="555555"/>
          <w:sz w:val="24"/>
          <w:szCs w:val="24"/>
        </w:rPr>
      </w:pPr>
      <w:r w:rsidDel="00000000" w:rsidR="00000000" w:rsidRPr="00000000">
        <w:rPr>
          <w:color w:val="555555"/>
          <w:sz w:val="24"/>
          <w:szCs w:val="24"/>
          <w:rtl w:val="0"/>
        </w:rPr>
        <w:t xml:space="preserve">figure 4</w:t>
      </w:r>
    </w:p>
    <w:p w:rsidR="00000000" w:rsidDel="00000000" w:rsidP="00000000" w:rsidRDefault="00000000" w:rsidRPr="00000000" w14:paraId="00000011">
      <w:pPr>
        <w:pStyle w:val="Heading3"/>
        <w:keepNext w:val="0"/>
        <w:keepLines w:val="0"/>
        <w:shd w:fill="ffffff" w:val="clear"/>
        <w:spacing w:after="0" w:before="0" w:line="240" w:lineRule="auto"/>
        <w:rPr>
          <w:b w:val="1"/>
          <w:color w:val="222222"/>
          <w:sz w:val="24"/>
          <w:szCs w:val="24"/>
        </w:rPr>
      </w:pPr>
      <w:bookmarkStart w:colFirst="0" w:colLast="0" w:name="_bpudztaxq5oo" w:id="2"/>
      <w:bookmarkEnd w:id="2"/>
      <w:r w:rsidDel="00000000" w:rsidR="00000000" w:rsidRPr="00000000">
        <w:rPr>
          <w:rtl w:val="0"/>
        </w:rPr>
      </w:r>
    </w:p>
    <w:p w:rsidR="00000000" w:rsidDel="00000000" w:rsidP="00000000" w:rsidRDefault="00000000" w:rsidRPr="00000000" w14:paraId="00000012">
      <w:pPr>
        <w:pStyle w:val="Heading3"/>
        <w:keepNext w:val="0"/>
        <w:keepLines w:val="0"/>
        <w:shd w:fill="ffffff" w:val="clear"/>
        <w:spacing w:after="0" w:before="0" w:line="240" w:lineRule="auto"/>
        <w:rPr>
          <w:b w:val="1"/>
          <w:color w:val="222222"/>
          <w:sz w:val="24"/>
          <w:szCs w:val="24"/>
        </w:rPr>
      </w:pPr>
      <w:bookmarkStart w:colFirst="0" w:colLast="0" w:name="_hrf9c5hqj0fk" w:id="3"/>
      <w:bookmarkEnd w:id="3"/>
      <w:r w:rsidDel="00000000" w:rsidR="00000000" w:rsidRPr="00000000">
        <w:rPr>
          <w:b w:val="1"/>
          <w:color w:val="222222"/>
          <w:sz w:val="24"/>
          <w:szCs w:val="24"/>
          <w:rtl w:val="0"/>
        </w:rPr>
        <w:t xml:space="preserve">Searching The Community Queue For Clients</w:t>
      </w:r>
    </w:p>
    <w:p w:rsidR="00000000" w:rsidDel="00000000" w:rsidP="00000000" w:rsidRDefault="00000000" w:rsidRPr="00000000" w14:paraId="00000013">
      <w:pPr>
        <w:shd w:fill="ffffff" w:val="clear"/>
        <w:spacing w:after="240" w:before="240" w:line="240" w:lineRule="auto"/>
        <w:rPr>
          <w:color w:val="555555"/>
        </w:rPr>
      </w:pPr>
      <w:r w:rsidDel="00000000" w:rsidR="00000000" w:rsidRPr="00000000">
        <w:rPr>
          <w:color w:val="555555"/>
          <w:rtl w:val="0"/>
        </w:rPr>
        <w:t xml:space="preserve">The </w:t>
      </w:r>
      <w:hyperlink r:id="rId10">
        <w:r w:rsidDel="00000000" w:rsidR="00000000" w:rsidRPr="00000000">
          <w:rPr>
            <w:color w:val="1155cc"/>
            <w:u w:val="single"/>
            <w:rtl w:val="0"/>
          </w:rPr>
          <w:t xml:space="preserve">Community Queue</w:t>
        </w:r>
      </w:hyperlink>
      <w:r w:rsidDel="00000000" w:rsidR="00000000" w:rsidRPr="00000000">
        <w:rPr>
          <w:color w:val="555555"/>
          <w:rtl w:val="0"/>
        </w:rPr>
        <w:t xml:space="preserve"> is equipped with multiple filters giving you full control over the information searched for. The unified search box allows for different types of criteria to be entered, either on its own, or a combination with other terms. Reference the terms below:</w:t>
      </w:r>
    </w:p>
    <w:p w:rsidR="00000000" w:rsidDel="00000000" w:rsidP="00000000" w:rsidRDefault="00000000" w:rsidRPr="00000000" w14:paraId="00000014">
      <w:pPr>
        <w:shd w:fill="ffffff" w:val="clear"/>
        <w:spacing w:after="240" w:before="240" w:lineRule="auto"/>
        <w:rPr>
          <w:color w:val="555555"/>
        </w:rPr>
      </w:pPr>
      <w:r w:rsidDel="00000000" w:rsidR="00000000" w:rsidRPr="00000000">
        <w:rPr>
          <w:color w:val="555555"/>
          <w:rtl w:val="0"/>
        </w:rPr>
        <w:t xml:space="preserve">Enter search parameters and click </w:t>
      </w:r>
      <w:r w:rsidDel="00000000" w:rsidR="00000000" w:rsidRPr="00000000">
        <w:rPr>
          <w:i w:val="1"/>
          <w:color w:val="555555"/>
          <w:rtl w:val="0"/>
        </w:rPr>
        <w:t xml:space="preserve">Search:</w:t>
      </w:r>
      <w:r w:rsidDel="00000000" w:rsidR="00000000" w:rsidRPr="00000000">
        <w:rPr>
          <w:rtl w:val="0"/>
        </w:rPr>
      </w:r>
    </w:p>
    <w:p w:rsidR="00000000" w:rsidDel="00000000" w:rsidP="00000000" w:rsidRDefault="00000000" w:rsidRPr="00000000" w14:paraId="00000015">
      <w:pPr>
        <w:widowControl w:val="0"/>
        <w:numPr>
          <w:ilvl w:val="0"/>
          <w:numId w:val="1"/>
        </w:numPr>
        <w:spacing w:after="0" w:afterAutospacing="0" w:before="600" w:lineRule="auto"/>
        <w:ind w:left="720" w:hanging="360"/>
        <w:rPr>
          <w:color w:val="444444"/>
          <w:sz w:val="22"/>
          <w:szCs w:val="22"/>
        </w:rPr>
      </w:pPr>
      <w:r w:rsidDel="00000000" w:rsidR="00000000" w:rsidRPr="00000000">
        <w:rPr>
          <w:color w:val="444444"/>
          <w:rtl w:val="0"/>
        </w:rPr>
        <w:t xml:space="preserve">Search - Client Name, UI, SSN </w:t>
      </w:r>
    </w:p>
    <w:p w:rsidR="00000000" w:rsidDel="00000000" w:rsidP="00000000" w:rsidRDefault="00000000" w:rsidRPr="00000000" w14:paraId="00000016">
      <w:pPr>
        <w:numPr>
          <w:ilvl w:val="0"/>
          <w:numId w:val="1"/>
        </w:numPr>
        <w:shd w:fill="ffffff" w:val="clear"/>
        <w:spacing w:after="0" w:afterAutospacing="0" w:before="0" w:beforeAutospacing="0" w:lineRule="auto"/>
        <w:ind w:left="720" w:hanging="360"/>
        <w:rPr>
          <w:color w:val="555555"/>
          <w:u w:val="none"/>
        </w:rPr>
      </w:pPr>
      <w:r w:rsidDel="00000000" w:rsidR="00000000" w:rsidRPr="00000000">
        <w:rPr>
          <w:color w:val="555555"/>
          <w:rtl w:val="0"/>
        </w:rPr>
        <w:t xml:space="preserve">Mode - Assessment Type (e.g VI-SPDAT Prescreen for Families [V1])</w:t>
      </w:r>
    </w:p>
    <w:p w:rsidR="00000000" w:rsidDel="00000000" w:rsidP="00000000" w:rsidRDefault="00000000" w:rsidRPr="00000000" w14:paraId="00000017">
      <w:pPr>
        <w:numPr>
          <w:ilvl w:val="0"/>
          <w:numId w:val="1"/>
        </w:numPr>
        <w:shd w:fill="ffffff" w:val="clear"/>
        <w:spacing w:after="240" w:before="0" w:beforeAutospacing="0" w:lineRule="auto"/>
        <w:ind w:left="720" w:hanging="360"/>
        <w:rPr>
          <w:color w:val="555555"/>
          <w:u w:val="none"/>
        </w:rPr>
      </w:pPr>
      <w:r w:rsidDel="00000000" w:rsidR="00000000" w:rsidRPr="00000000">
        <w:rPr>
          <w:color w:val="555555"/>
          <w:rtl w:val="0"/>
        </w:rPr>
        <w:t xml:space="preserve">Active Agency - Matchmakers should select the agency they are making the referral to</w:t>
      </w:r>
      <w:r w:rsidDel="00000000" w:rsidR="00000000" w:rsidRPr="00000000">
        <w:rPr>
          <w:rtl w:val="0"/>
        </w:rPr>
      </w:r>
    </w:p>
    <w:p w:rsidR="00000000" w:rsidDel="00000000" w:rsidP="00000000" w:rsidRDefault="00000000" w:rsidRPr="00000000" w14:paraId="00000018">
      <w:pPr>
        <w:keepNext w:val="1"/>
        <w:shd w:fill="ffffff" w:val="clear"/>
        <w:spacing w:after="240" w:before="240" w:line="276" w:lineRule="auto"/>
        <w:ind w:left="0" w:firstLine="0"/>
        <w:rPr>
          <w:i w:val="1"/>
          <w:color w:val="555555"/>
        </w:rPr>
      </w:pPr>
      <w:r w:rsidDel="00000000" w:rsidR="00000000" w:rsidRPr="00000000">
        <w:rPr>
          <w:i w:val="1"/>
          <w:color w:val="555555"/>
          <w:rtl w:val="0"/>
        </w:rPr>
        <w:t xml:space="preserve">Note: If searching for a particular client, enter the client’s name, unique ID or  SSN in the search box. </w:t>
      </w:r>
    </w:p>
    <w:p w:rsidR="00000000" w:rsidDel="00000000" w:rsidP="00000000" w:rsidRDefault="00000000" w:rsidRPr="00000000" w14:paraId="00000019">
      <w:pPr>
        <w:keepNext w:val="1"/>
        <w:shd w:fill="ffffff" w:val="clear"/>
        <w:spacing w:after="240" w:before="240" w:line="276" w:lineRule="auto"/>
        <w:ind w:left="0" w:firstLine="0"/>
        <w:rPr>
          <w:color w:val="555555"/>
        </w:rPr>
      </w:pPr>
      <w:r w:rsidDel="00000000" w:rsidR="00000000" w:rsidRPr="00000000">
        <w:rPr>
          <w:color w:val="555555"/>
          <w:rtl w:val="0"/>
        </w:rPr>
        <w:t xml:space="preserve">Once an assessment is selected under Mode, the assessments scores will be visible for each client on the queue (figure 6). Clients will be prioritized listing the client with the highest assessment score first and then days pending on the queue as the tie breaker. </w:t>
      </w:r>
      <w:r w:rsidDel="00000000" w:rsidR="00000000" w:rsidRPr="00000000">
        <w:rPr>
          <w:rtl w:val="0"/>
        </w:rPr>
      </w:r>
    </w:p>
    <w:p w:rsidR="00000000" w:rsidDel="00000000" w:rsidP="00000000" w:rsidRDefault="00000000" w:rsidRPr="00000000" w14:paraId="0000001A">
      <w:pPr>
        <w:shd w:fill="ffffff" w:val="clear"/>
        <w:spacing w:after="600" w:before="600" w:lineRule="auto"/>
        <w:jc w:val="center"/>
        <w:rPr>
          <w:color w:val="555555"/>
        </w:rPr>
      </w:pPr>
      <w:r w:rsidDel="00000000" w:rsidR="00000000" w:rsidRPr="00000000">
        <w:rPr>
          <w:color w:val="555555"/>
        </w:rPr>
        <w:drawing>
          <wp:inline distB="19050" distT="19050" distL="19050" distR="19050">
            <wp:extent cx="4938713" cy="2063321"/>
            <wp:effectExtent b="0" l="0" r="0" t="0"/>
            <wp:docPr id="7"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938713" cy="2063321"/>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hd w:fill="ffffff" w:val="clear"/>
        <w:spacing w:after="600" w:before="600" w:lineRule="auto"/>
        <w:jc w:val="center"/>
        <w:rPr>
          <w:color w:val="555555"/>
        </w:rPr>
      </w:pPr>
      <w:r w:rsidDel="00000000" w:rsidR="00000000" w:rsidRPr="00000000">
        <w:rPr>
          <w:color w:val="555555"/>
          <w:rtl w:val="0"/>
        </w:rPr>
        <w:t xml:space="preserve">figure 6</w:t>
      </w:r>
      <w:r w:rsidDel="00000000" w:rsidR="00000000" w:rsidRPr="00000000">
        <w:rPr>
          <w:rtl w:val="0"/>
        </w:rPr>
      </w:r>
    </w:p>
    <w:p w:rsidR="00000000" w:rsidDel="00000000" w:rsidP="00000000" w:rsidRDefault="00000000" w:rsidRPr="00000000" w14:paraId="0000001C">
      <w:pPr>
        <w:shd w:fill="ffffff" w:val="clear"/>
        <w:spacing w:after="240" w:before="240" w:line="240" w:lineRule="auto"/>
        <w:ind w:left="0" w:firstLine="0"/>
        <w:rPr>
          <w:b w:val="1"/>
          <w:color w:val="222222"/>
          <w:sz w:val="24"/>
          <w:szCs w:val="24"/>
        </w:rPr>
      </w:pPr>
      <w:r w:rsidDel="00000000" w:rsidR="00000000" w:rsidRPr="00000000">
        <w:rPr>
          <w:b w:val="1"/>
          <w:color w:val="222222"/>
          <w:sz w:val="24"/>
          <w:szCs w:val="24"/>
          <w:rtl w:val="0"/>
        </w:rPr>
        <w:t xml:space="preserve">Referral: Assign </w:t>
      </w:r>
    </w:p>
    <w:p w:rsidR="00000000" w:rsidDel="00000000" w:rsidP="00000000" w:rsidRDefault="00000000" w:rsidRPr="00000000" w14:paraId="0000001D">
      <w:pPr>
        <w:shd w:fill="ffffff" w:val="clear"/>
        <w:spacing w:after="240" w:before="240" w:line="240" w:lineRule="auto"/>
        <w:ind w:left="0" w:firstLine="0"/>
        <w:rPr>
          <w:i w:val="1"/>
          <w:color w:val="555555"/>
        </w:rPr>
      </w:pPr>
      <w:r w:rsidDel="00000000" w:rsidR="00000000" w:rsidRPr="00000000">
        <w:rPr>
          <w:color w:val="555555"/>
          <w:rtl w:val="0"/>
        </w:rPr>
        <w:t xml:space="preserve">Re-assigning the referral is how Matchmakers refer a client to a program. Edit the referral, s</w:t>
      </w:r>
      <w:r w:rsidDel="00000000" w:rsidR="00000000" w:rsidRPr="00000000">
        <w:rPr>
          <w:color w:val="555555"/>
          <w:rtl w:val="0"/>
        </w:rPr>
        <w:t xml:space="preserve">elect the program and click </w:t>
      </w:r>
      <w:r w:rsidDel="00000000" w:rsidR="00000000" w:rsidRPr="00000000">
        <w:rPr>
          <w:i w:val="1"/>
          <w:color w:val="555555"/>
          <w:rtl w:val="0"/>
        </w:rPr>
        <w:t xml:space="preserve">Save (figure 7). </w:t>
      </w:r>
    </w:p>
    <w:p w:rsidR="00000000" w:rsidDel="00000000" w:rsidP="00000000" w:rsidRDefault="00000000" w:rsidRPr="00000000" w14:paraId="0000001E">
      <w:pPr>
        <w:shd w:fill="ffffff" w:val="clear"/>
        <w:spacing w:after="240" w:before="240" w:line="276" w:lineRule="auto"/>
        <w:ind w:left="0" w:firstLine="0"/>
        <w:rPr>
          <w:i w:val="1"/>
          <w:color w:val="555555"/>
          <w:sz w:val="24"/>
          <w:szCs w:val="24"/>
        </w:rPr>
      </w:pPr>
      <w:r w:rsidDel="00000000" w:rsidR="00000000" w:rsidRPr="00000000">
        <w:rPr>
          <w:color w:val="555555"/>
          <w:rtl w:val="0"/>
        </w:rPr>
        <w:t xml:space="preserve">Matchmakers can add referral notes if needed. </w:t>
      </w:r>
      <w:r w:rsidDel="00000000" w:rsidR="00000000" w:rsidRPr="00000000">
        <w:rPr>
          <w:rtl w:val="0"/>
        </w:rPr>
      </w:r>
    </w:p>
    <w:p w:rsidR="00000000" w:rsidDel="00000000" w:rsidP="00000000" w:rsidRDefault="00000000" w:rsidRPr="00000000" w14:paraId="0000001F">
      <w:pPr>
        <w:shd w:fill="ffffff" w:val="clear"/>
        <w:spacing w:after="240" w:before="240" w:lineRule="auto"/>
        <w:jc w:val="center"/>
        <w:rPr>
          <w:i w:val="1"/>
          <w:color w:val="555555"/>
          <w:sz w:val="24"/>
          <w:szCs w:val="24"/>
        </w:rPr>
      </w:pPr>
      <w:r w:rsidDel="00000000" w:rsidR="00000000" w:rsidRPr="00000000">
        <w:rPr>
          <w:i w:val="1"/>
          <w:color w:val="555555"/>
          <w:sz w:val="24"/>
          <w:szCs w:val="24"/>
        </w:rPr>
        <w:drawing>
          <wp:inline distB="114300" distT="114300" distL="114300" distR="114300">
            <wp:extent cx="5024438" cy="3647548"/>
            <wp:effectExtent b="0" l="0" r="0" t="0"/>
            <wp:docPr id="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024438" cy="3647548"/>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hd w:fill="ffffff" w:val="clear"/>
        <w:spacing w:after="240" w:before="240" w:lineRule="auto"/>
        <w:jc w:val="center"/>
        <w:rPr>
          <w:i w:val="1"/>
          <w:color w:val="555555"/>
        </w:rPr>
      </w:pPr>
      <w:r w:rsidDel="00000000" w:rsidR="00000000" w:rsidRPr="00000000">
        <w:rPr>
          <w:i w:val="1"/>
          <w:color w:val="555555"/>
          <w:rtl w:val="0"/>
        </w:rPr>
        <w:t xml:space="preserve">figure 7</w:t>
      </w:r>
    </w:p>
    <w:p w:rsidR="00000000" w:rsidDel="00000000" w:rsidP="00000000" w:rsidRDefault="00000000" w:rsidRPr="00000000" w14:paraId="00000021">
      <w:pPr>
        <w:shd w:fill="ffffff" w:val="clear"/>
        <w:spacing w:after="240" w:before="240" w:line="276" w:lineRule="auto"/>
        <w:ind w:left="0" w:firstLine="0"/>
        <w:rPr>
          <w:color w:val="555555"/>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b w:val="1"/>
        <w:color w:val="0b5394"/>
        <w:sz w:val="36"/>
        <w:szCs w:val="36"/>
      </w:rPr>
    </w:pPr>
    <w:r w:rsidDel="00000000" w:rsidR="00000000" w:rsidRPr="00000000">
      <w:rPr>
        <w:b w:val="1"/>
        <w:color w:val="0b5394"/>
        <w:sz w:val="36"/>
        <w:szCs w:val="36"/>
        <w:rtl w:val="0"/>
      </w:rPr>
      <w:t xml:space="preserve"> </w:t>
    </w:r>
    <w:r w:rsidDel="00000000" w:rsidR="00000000" w:rsidRPr="00000000">
      <w:rPr>
        <w:b w:val="1"/>
        <w:color w:val="0b5394"/>
        <w:sz w:val="36"/>
        <w:szCs w:val="36"/>
      </w:rPr>
      <w:drawing>
        <wp:inline distB="114300" distT="114300" distL="114300" distR="114300">
          <wp:extent cx="1274672" cy="5238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4672" cy="52383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center"/>
      <w:rPr/>
    </w:pPr>
    <w:r w:rsidDel="00000000" w:rsidR="00000000" w:rsidRPr="00000000">
      <w:rPr>
        <w:b w:val="1"/>
        <w:color w:val="214469"/>
        <w:sz w:val="36"/>
        <w:szCs w:val="36"/>
        <w:rtl w:val="0"/>
      </w:rPr>
      <w:t xml:space="preserve">Marin- Matchmaking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get.clarityhs.help/hc/en-us/articles/360044542353-Filtering-Referral-Results" TargetMode="External"/><Relationship Id="rId13" Type="http://schemas.openxmlformats.org/officeDocument/2006/relationships/header" Target="header1.xm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