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color w:val="214469"/>
          <w:sz w:val="36"/>
          <w:szCs w:val="36"/>
          <w:rtl w:val="0"/>
        </w:rPr>
        <w:t xml:space="preserve">Marin- Problem-Solving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555555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How to Enter a Problem-Solving Service for Coordinated Entry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color w:val="555555"/>
          <w:u w:val="none"/>
        </w:rPr>
      </w:pPr>
      <w:r w:rsidDel="00000000" w:rsidR="00000000" w:rsidRPr="00000000">
        <w:rPr>
          <w:color w:val="555555"/>
          <w:rtl w:val="0"/>
        </w:rPr>
        <w:t xml:space="preserve">Go to the Client’s Enrollment and click the </w:t>
      </w:r>
      <w:r w:rsidDel="00000000" w:rsidR="00000000" w:rsidRPr="00000000">
        <w:rPr>
          <w:i w:val="1"/>
          <w:color w:val="555555"/>
          <w:rtl w:val="0"/>
        </w:rPr>
        <w:t xml:space="preserve">Provide Services</w:t>
      </w:r>
      <w:r w:rsidDel="00000000" w:rsidR="00000000" w:rsidRPr="00000000">
        <w:rPr>
          <w:color w:val="555555"/>
          <w:rtl w:val="0"/>
        </w:rPr>
        <w:t xml:space="preserve"> Tab (</w:t>
      </w:r>
      <w:r w:rsidDel="00000000" w:rsidR="00000000" w:rsidRPr="00000000">
        <w:rPr>
          <w:i w:val="1"/>
          <w:color w:val="555555"/>
          <w:rtl w:val="0"/>
        </w:rPr>
        <w:t xml:space="preserve">figure 1</w:t>
      </w:r>
      <w:r w:rsidDel="00000000" w:rsidR="00000000" w:rsidRPr="00000000">
        <w:rPr>
          <w:color w:val="555555"/>
          <w:rtl w:val="0"/>
        </w:rPr>
        <w:t xml:space="preserve">)</w:t>
      </w:r>
    </w:p>
    <w:p w:rsidR="00000000" w:rsidDel="00000000" w:rsidP="00000000" w:rsidRDefault="00000000" w:rsidRPr="00000000" w14:paraId="00000006">
      <w:pPr>
        <w:ind w:left="720" w:firstLine="0"/>
        <w:rPr>
          <w:color w:val="555555"/>
        </w:rPr>
      </w:pPr>
      <w:r w:rsidDel="00000000" w:rsidR="00000000" w:rsidRPr="00000000">
        <w:rPr>
          <w:color w:val="555555"/>
        </w:rPr>
        <w:drawing>
          <wp:inline distB="114300" distT="114300" distL="114300" distR="114300">
            <wp:extent cx="5187189" cy="293846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7189" cy="2938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figure 1</w:t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555555"/>
          <w:u w:val="none"/>
        </w:rPr>
      </w:pPr>
      <w:r w:rsidDel="00000000" w:rsidR="00000000" w:rsidRPr="00000000">
        <w:rPr>
          <w:color w:val="555555"/>
          <w:rtl w:val="0"/>
        </w:rPr>
        <w:t xml:space="preserve">Select the Diversion service that the client is receiving (</w:t>
      </w:r>
      <w:r w:rsidDel="00000000" w:rsidR="00000000" w:rsidRPr="00000000">
        <w:rPr>
          <w:i w:val="1"/>
          <w:color w:val="555555"/>
          <w:rtl w:val="0"/>
        </w:rPr>
        <w:t xml:space="preserve">figure 2</w:t>
      </w:r>
      <w:r w:rsidDel="00000000" w:rsidR="00000000" w:rsidRPr="00000000">
        <w:rPr>
          <w:color w:val="555555"/>
          <w:rtl w:val="0"/>
        </w:rPr>
        <w:t xml:space="preserve">)</w:t>
      </w:r>
    </w:p>
    <w:p w:rsidR="00000000" w:rsidDel="00000000" w:rsidP="00000000" w:rsidRDefault="00000000" w:rsidRPr="00000000" w14:paraId="0000000A">
      <w:pPr>
        <w:ind w:left="720" w:firstLine="0"/>
        <w:rPr>
          <w:color w:val="555555"/>
        </w:rPr>
      </w:pPr>
      <w:r w:rsidDel="00000000" w:rsidR="00000000" w:rsidRPr="00000000">
        <w:rPr>
          <w:color w:val="555555"/>
        </w:rPr>
        <w:drawing>
          <wp:inline distB="114300" distT="114300" distL="114300" distR="114300">
            <wp:extent cx="4614863" cy="307025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4863" cy="3070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figure 2</w:t>
      </w:r>
    </w:p>
    <w:p w:rsidR="00000000" w:rsidDel="00000000" w:rsidP="00000000" w:rsidRDefault="00000000" w:rsidRPr="00000000" w14:paraId="0000000C">
      <w:pPr>
        <w:ind w:left="720" w:firstLine="0"/>
        <w:rPr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color w:val="555555"/>
          <w:u w:val="none"/>
        </w:rPr>
      </w:pPr>
      <w:r w:rsidDel="00000000" w:rsidR="00000000" w:rsidRPr="00000000">
        <w:rPr>
          <w:color w:val="555555"/>
          <w:rtl w:val="0"/>
        </w:rPr>
        <w:t xml:space="preserve">Enter the date of the service (</w:t>
      </w:r>
      <w:r w:rsidDel="00000000" w:rsidR="00000000" w:rsidRPr="00000000">
        <w:rPr>
          <w:i w:val="1"/>
          <w:color w:val="555555"/>
          <w:rtl w:val="0"/>
        </w:rPr>
        <w:t xml:space="preserve">figure 3</w:t>
      </w:r>
      <w:r w:rsidDel="00000000" w:rsidR="00000000" w:rsidRPr="00000000">
        <w:rPr>
          <w:color w:val="555555"/>
          <w:rtl w:val="0"/>
        </w:rPr>
        <w:t xml:space="preserve">)</w:t>
      </w:r>
    </w:p>
    <w:p w:rsidR="00000000" w:rsidDel="00000000" w:rsidP="00000000" w:rsidRDefault="00000000" w:rsidRPr="00000000" w14:paraId="0000000E">
      <w:pPr>
        <w:ind w:left="720" w:firstLine="0"/>
        <w:rPr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color w:val="555555"/>
          <w:u w:val="none"/>
        </w:rPr>
      </w:pPr>
      <w:r w:rsidDel="00000000" w:rsidR="00000000" w:rsidRPr="00000000">
        <w:rPr>
          <w:i w:val="1"/>
          <w:color w:val="555555"/>
          <w:rtl w:val="0"/>
        </w:rPr>
        <w:t xml:space="preserve">*NEW*</w:t>
      </w:r>
      <w:r w:rsidDel="00000000" w:rsidR="00000000" w:rsidRPr="00000000">
        <w:rPr>
          <w:color w:val="555555"/>
          <w:rtl w:val="0"/>
        </w:rPr>
        <w:t xml:space="preserve"> Specify whether or not the service is resulting in the client becoming housed/re-housed in a safe alternative and the date that the event occurred. (Note: If Yes, exit the client from CE) </w:t>
      </w:r>
      <w:r w:rsidDel="00000000" w:rsidR="00000000" w:rsidRPr="00000000">
        <w:rPr>
          <w:i w:val="1"/>
          <w:color w:val="555555"/>
          <w:rtl w:val="0"/>
        </w:rPr>
        <w:t xml:space="preserve">(figure 3)</w:t>
      </w:r>
    </w:p>
    <w:p w:rsidR="00000000" w:rsidDel="00000000" w:rsidP="00000000" w:rsidRDefault="00000000" w:rsidRPr="00000000" w14:paraId="00000010">
      <w:pPr>
        <w:ind w:left="0" w:firstLine="0"/>
        <w:rPr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color w:val="555555"/>
          <w:u w:val="none"/>
        </w:rPr>
      </w:pPr>
      <w:r w:rsidDel="00000000" w:rsidR="00000000" w:rsidRPr="00000000">
        <w:rPr>
          <w:color w:val="555555"/>
          <w:rtl w:val="0"/>
        </w:rPr>
        <w:t xml:space="preserve">Click Submit when done </w:t>
      </w:r>
      <w:r w:rsidDel="00000000" w:rsidR="00000000" w:rsidRPr="00000000">
        <w:rPr>
          <w:i w:val="1"/>
          <w:color w:val="555555"/>
          <w:rtl w:val="0"/>
        </w:rPr>
        <w:t xml:space="preserve">(figure 3)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876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figure 3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b w:val="1"/>
        <w:color w:val="0b5394"/>
        <w:sz w:val="36"/>
        <w:szCs w:val="36"/>
        <w:rtl w:val="0"/>
      </w:rPr>
      <w:t xml:space="preserve"> </w:t>
    </w:r>
    <w:r w:rsidDel="00000000" w:rsidR="00000000" w:rsidRPr="00000000">
      <w:rPr>
        <w:b w:val="1"/>
        <w:color w:val="0b5394"/>
        <w:sz w:val="36"/>
        <w:szCs w:val="36"/>
      </w:rPr>
      <w:drawing>
        <wp:inline distB="114300" distT="114300" distL="114300" distR="114300">
          <wp:extent cx="1274672" cy="523838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4672" cy="523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