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hd w:fill="ffffff" w:val="clear"/>
        <w:spacing w:after="240" w:before="240" w:line="240" w:lineRule="auto"/>
        <w:rPr>
          <w:b w:val="1"/>
          <w:color w:val="555555"/>
          <w:sz w:val="24"/>
          <w:szCs w:val="24"/>
        </w:rPr>
      </w:pPr>
      <w:r w:rsidDel="00000000" w:rsidR="00000000" w:rsidRPr="00000000">
        <w:rPr>
          <w:b w:val="1"/>
          <w:color w:val="555555"/>
          <w:sz w:val="24"/>
          <w:szCs w:val="24"/>
          <w:rtl w:val="0"/>
        </w:rPr>
        <w:t xml:space="preserve">Updating the Status of a Referral </w:t>
      </w:r>
    </w:p>
    <w:p w:rsidR="00000000" w:rsidDel="00000000" w:rsidP="00000000" w:rsidRDefault="00000000" w:rsidRPr="00000000" w14:paraId="00000002">
      <w:pPr>
        <w:widowControl w:val="0"/>
        <w:shd w:fill="ffffff" w:val="clear"/>
        <w:spacing w:after="240" w:before="240" w:line="240" w:lineRule="auto"/>
        <w:rPr>
          <w:color w:val="555555"/>
        </w:rPr>
      </w:pPr>
      <w:r w:rsidDel="00000000" w:rsidR="00000000" w:rsidRPr="00000000">
        <w:rPr>
          <w:color w:val="555555"/>
          <w:rtl w:val="0"/>
        </w:rPr>
        <w:t xml:space="preserve">To update the status of a referral, navigate to</w:t>
      </w:r>
      <w:r w:rsidDel="00000000" w:rsidR="00000000" w:rsidRPr="00000000">
        <w:rPr>
          <w:i w:val="1"/>
          <w:color w:val="555555"/>
          <w:rtl w:val="0"/>
        </w:rPr>
        <w:t xml:space="preserve"> Search &gt; Referrals</w:t>
      </w:r>
      <w:r w:rsidDel="00000000" w:rsidR="00000000" w:rsidRPr="00000000">
        <w:rPr>
          <w:color w:val="555555"/>
          <w:rtl w:val="0"/>
        </w:rPr>
        <w:t xml:space="preserve">.</w:t>
      </w:r>
      <w:r w:rsidDel="00000000" w:rsidR="00000000" w:rsidRPr="00000000">
        <w:rPr>
          <w:color w:val="555555"/>
          <w:rtl w:val="0"/>
        </w:rPr>
        <w:t xml:space="preserve"> </w:t>
      </w:r>
      <w:r w:rsidDel="00000000" w:rsidR="00000000" w:rsidRPr="00000000">
        <w:rPr>
          <w:color w:val="555555"/>
          <w:rtl w:val="0"/>
        </w:rPr>
        <w:t xml:space="preserve">If you do not see the </w:t>
      </w:r>
      <w:r w:rsidDel="00000000" w:rsidR="00000000" w:rsidRPr="00000000">
        <w:rPr>
          <w:i w:val="1"/>
          <w:color w:val="555555"/>
          <w:rtl w:val="0"/>
        </w:rPr>
        <w:t xml:space="preserve">Referrals</w:t>
      </w:r>
      <w:r w:rsidDel="00000000" w:rsidR="00000000" w:rsidRPr="00000000">
        <w:rPr>
          <w:color w:val="555555"/>
          <w:rtl w:val="0"/>
        </w:rPr>
        <w:t xml:space="preserve"> tab, click </w:t>
      </w:r>
      <w:r w:rsidDel="00000000" w:rsidR="00000000" w:rsidRPr="00000000">
        <w:rPr>
          <w:i w:val="1"/>
          <w:color w:val="555555"/>
          <w:rtl w:val="0"/>
        </w:rPr>
        <w:t xml:space="preserve">Search</w:t>
      </w:r>
      <w:r w:rsidDel="00000000" w:rsidR="00000000" w:rsidRPr="00000000">
        <w:rPr>
          <w:color w:val="555555"/>
          <w:rtl w:val="0"/>
        </w:rPr>
        <w:t xml:space="preserve"> to go back to the home screen and it should appear</w:t>
      </w:r>
      <w:r w:rsidDel="00000000" w:rsidR="00000000" w:rsidRPr="00000000">
        <w:rPr>
          <w:color w:val="555555"/>
          <w:rtl w:val="0"/>
        </w:rPr>
        <w:t xml:space="preserve">. </w:t>
      </w:r>
    </w:p>
    <w:p w:rsidR="00000000" w:rsidDel="00000000" w:rsidP="00000000" w:rsidRDefault="00000000" w:rsidRPr="00000000" w14:paraId="00000003">
      <w:pPr>
        <w:widowControl w:val="0"/>
        <w:shd w:fill="ffffff" w:val="clear"/>
        <w:spacing w:after="240" w:before="240" w:line="240" w:lineRule="auto"/>
        <w:rPr>
          <w:color w:val="222222"/>
          <w:sz w:val="36"/>
          <w:szCs w:val="36"/>
        </w:rPr>
      </w:pPr>
      <w:r w:rsidDel="00000000" w:rsidR="00000000" w:rsidRPr="00000000">
        <w:rPr>
          <w:color w:val="222222"/>
          <w:sz w:val="36"/>
          <w:szCs w:val="36"/>
        </w:rPr>
        <w:drawing>
          <wp:inline distB="114300" distT="114300" distL="114300" distR="114300">
            <wp:extent cx="5091113" cy="1200646"/>
            <wp:effectExtent b="0" l="0" r="0" t="0"/>
            <wp:docPr descr="image5.png" id="3" name="image2.png"/>
            <a:graphic>
              <a:graphicData uri="http://schemas.openxmlformats.org/drawingml/2006/picture">
                <pic:pic>
                  <pic:nvPicPr>
                    <pic:cNvPr descr="image5.png" id="0" name="image2.png"/>
                    <pic:cNvPicPr preferRelativeResize="0"/>
                  </pic:nvPicPr>
                  <pic:blipFill>
                    <a:blip r:embed="rId6"/>
                    <a:srcRect b="0" l="0" r="0" t="0"/>
                    <a:stretch>
                      <a:fillRect/>
                    </a:stretch>
                  </pic:blipFill>
                  <pic:spPr>
                    <a:xfrm>
                      <a:off x="0" y="0"/>
                      <a:ext cx="5091113" cy="1200646"/>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hd w:fill="ffffff" w:val="clear"/>
        <w:spacing w:after="240" w:before="240" w:line="240" w:lineRule="auto"/>
        <w:jc w:val="center"/>
        <w:rPr>
          <w:color w:val="555555"/>
        </w:rPr>
      </w:pPr>
      <w:r w:rsidDel="00000000" w:rsidR="00000000" w:rsidRPr="00000000">
        <w:rPr>
          <w:color w:val="555555"/>
          <w:rtl w:val="0"/>
        </w:rPr>
        <w:t xml:space="preserve">figure 1</w:t>
      </w:r>
    </w:p>
    <w:p w:rsidR="00000000" w:rsidDel="00000000" w:rsidP="00000000" w:rsidRDefault="00000000" w:rsidRPr="00000000" w14:paraId="00000005">
      <w:pPr>
        <w:widowControl w:val="0"/>
        <w:shd w:fill="ffffff" w:val="clear"/>
        <w:spacing w:after="240" w:before="240" w:line="240" w:lineRule="auto"/>
        <w:rPr>
          <w:color w:val="555555"/>
        </w:rPr>
      </w:pPr>
      <w:r w:rsidDel="00000000" w:rsidR="00000000" w:rsidRPr="00000000">
        <w:rPr>
          <w:color w:val="555555"/>
          <w:rtl w:val="0"/>
        </w:rPr>
        <w:t xml:space="preserve">Locate the referral you would like to update the status for.</w:t>
      </w:r>
      <w:r w:rsidDel="00000000" w:rsidR="00000000" w:rsidRPr="00000000">
        <w:rPr>
          <w:i w:val="1"/>
          <w:color w:val="555555"/>
          <w:rtl w:val="0"/>
        </w:rPr>
        <w:t xml:space="preserve"> </w:t>
      </w:r>
      <w:r w:rsidDel="00000000" w:rsidR="00000000" w:rsidRPr="00000000">
        <w:rPr>
          <w:color w:val="555555"/>
          <w:rtl w:val="0"/>
        </w:rPr>
        <w:t xml:space="preserve">Click the edit icon next to the referral(figure 2).</w:t>
      </w:r>
    </w:p>
    <w:p w:rsidR="00000000" w:rsidDel="00000000" w:rsidP="00000000" w:rsidRDefault="00000000" w:rsidRPr="00000000" w14:paraId="00000006">
      <w:pPr>
        <w:widowControl w:val="0"/>
        <w:shd w:fill="ffffff" w:val="clear"/>
        <w:spacing w:after="240" w:before="240" w:line="240" w:lineRule="auto"/>
        <w:jc w:val="center"/>
        <w:rPr>
          <w:color w:val="555555"/>
        </w:rPr>
      </w:pPr>
      <w:r w:rsidDel="00000000" w:rsidR="00000000" w:rsidRPr="00000000">
        <w:rPr>
          <w:color w:val="555555"/>
        </w:rPr>
        <w:drawing>
          <wp:inline distB="114300" distT="114300" distL="114300" distR="114300">
            <wp:extent cx="3769329" cy="2716924"/>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3769329" cy="2716924"/>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widowControl w:val="0"/>
        <w:shd w:fill="ffffff" w:val="clear"/>
        <w:spacing w:after="240" w:before="240" w:line="240" w:lineRule="auto"/>
        <w:jc w:val="center"/>
        <w:rPr>
          <w:color w:val="555555"/>
        </w:rPr>
      </w:pPr>
      <w:r w:rsidDel="00000000" w:rsidR="00000000" w:rsidRPr="00000000">
        <w:rPr>
          <w:color w:val="555555"/>
          <w:rtl w:val="0"/>
        </w:rPr>
        <w:t xml:space="preserve">figure 2</w:t>
      </w:r>
    </w:p>
    <w:p w:rsidR="00000000" w:rsidDel="00000000" w:rsidP="00000000" w:rsidRDefault="00000000" w:rsidRPr="00000000" w14:paraId="00000008">
      <w:pPr>
        <w:widowControl w:val="0"/>
        <w:shd w:fill="ffffff" w:val="clear"/>
        <w:spacing w:after="240" w:before="240" w:line="240" w:lineRule="auto"/>
        <w:rPr>
          <w:color w:val="555555"/>
        </w:rPr>
      </w:pPr>
      <w:r w:rsidDel="00000000" w:rsidR="00000000" w:rsidRPr="00000000">
        <w:rPr>
          <w:color w:val="555555"/>
          <w:rtl w:val="0"/>
        </w:rPr>
        <w:t xml:space="preserve">Scroll down to the </w:t>
      </w:r>
      <w:r w:rsidDel="00000000" w:rsidR="00000000" w:rsidRPr="00000000">
        <w:rPr>
          <w:i w:val="1"/>
          <w:color w:val="555555"/>
          <w:rtl w:val="0"/>
        </w:rPr>
        <w:t xml:space="preserve">Status</w:t>
      </w:r>
      <w:r w:rsidDel="00000000" w:rsidR="00000000" w:rsidRPr="00000000">
        <w:rPr>
          <w:color w:val="555555"/>
          <w:rtl w:val="0"/>
        </w:rPr>
        <w:t xml:space="preserve"> field. Here you’ll see your status options (figure 3). The status of a </w:t>
      </w:r>
      <w:hyperlink r:id="rId8">
        <w:r w:rsidDel="00000000" w:rsidR="00000000" w:rsidRPr="00000000">
          <w:rPr>
            <w:color w:val="214469"/>
            <w:rtl w:val="0"/>
          </w:rPr>
          <w:t xml:space="preserve">pending referral</w:t>
        </w:r>
      </w:hyperlink>
      <w:r w:rsidDel="00000000" w:rsidR="00000000" w:rsidRPr="00000000">
        <w:rPr>
          <w:color w:val="555555"/>
          <w:rtl w:val="0"/>
        </w:rPr>
        <w:t xml:space="preserve"> can be updated to "Pending - In Process", "Denied" or "Expired". </w:t>
      </w:r>
    </w:p>
    <w:p w:rsidR="00000000" w:rsidDel="00000000" w:rsidP="00000000" w:rsidRDefault="00000000" w:rsidRPr="00000000" w14:paraId="00000009">
      <w:pPr>
        <w:widowControl w:val="0"/>
        <w:shd w:fill="ffffff" w:val="clear"/>
        <w:spacing w:after="240" w:before="240" w:line="240" w:lineRule="auto"/>
        <w:rPr>
          <w:color w:val="555555"/>
        </w:rPr>
      </w:pPr>
      <w:r w:rsidDel="00000000" w:rsidR="00000000" w:rsidRPr="00000000">
        <w:rPr>
          <w:color w:val="555555"/>
          <w:rtl w:val="0"/>
        </w:rPr>
        <w:t xml:space="preserve">Note: When a referral is first received, the provider should change the status from to pending-in process within 48 hours.</w:t>
      </w:r>
    </w:p>
    <w:p w:rsidR="00000000" w:rsidDel="00000000" w:rsidP="00000000" w:rsidRDefault="00000000" w:rsidRPr="00000000" w14:paraId="0000000A">
      <w:pPr>
        <w:pStyle w:val="Heading3"/>
        <w:keepNext w:val="0"/>
        <w:keepLines w:val="0"/>
        <w:widowControl w:val="0"/>
        <w:shd w:fill="ffffff" w:val="clear"/>
        <w:spacing w:after="0" w:before="0" w:line="320" w:lineRule="auto"/>
        <w:jc w:val="center"/>
        <w:rPr>
          <w:color w:val="222222"/>
          <w:sz w:val="36"/>
          <w:szCs w:val="36"/>
        </w:rPr>
      </w:pPr>
      <w:bookmarkStart w:colFirst="0" w:colLast="0" w:name="_l9gp69zbxf8v" w:id="0"/>
      <w:bookmarkEnd w:id="0"/>
      <w:r w:rsidDel="00000000" w:rsidR="00000000" w:rsidRPr="00000000">
        <w:rPr>
          <w:color w:val="222222"/>
          <w:sz w:val="36"/>
          <w:szCs w:val="36"/>
          <w:rtl w:val="0"/>
        </w:rPr>
        <w:t xml:space="preserve"> </w:t>
      </w:r>
    </w:p>
    <w:p w:rsidR="00000000" w:rsidDel="00000000" w:rsidP="00000000" w:rsidRDefault="00000000" w:rsidRPr="00000000" w14:paraId="0000000B">
      <w:pPr>
        <w:pStyle w:val="Heading3"/>
        <w:keepNext w:val="0"/>
        <w:keepLines w:val="0"/>
        <w:widowControl w:val="0"/>
        <w:shd w:fill="ffffff" w:val="clear"/>
        <w:spacing w:after="0" w:before="0" w:line="320" w:lineRule="auto"/>
        <w:jc w:val="center"/>
        <w:rPr>
          <w:color w:val="555555"/>
          <w:sz w:val="22"/>
          <w:szCs w:val="22"/>
        </w:rPr>
      </w:pPr>
      <w:bookmarkStart w:colFirst="0" w:colLast="0" w:name="_uqj7vzxn2yji" w:id="1"/>
      <w:bookmarkEnd w:id="1"/>
      <w:r w:rsidDel="00000000" w:rsidR="00000000" w:rsidRPr="00000000">
        <w:rPr>
          <w:color w:val="555555"/>
          <w:sz w:val="22"/>
          <w:szCs w:val="22"/>
        </w:rPr>
        <w:drawing>
          <wp:inline distB="114300" distT="114300" distL="114300" distR="114300">
            <wp:extent cx="4296806" cy="1081088"/>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4296806" cy="1081088"/>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Heading3"/>
        <w:keepNext w:val="0"/>
        <w:keepLines w:val="0"/>
        <w:widowControl w:val="0"/>
        <w:shd w:fill="ffffff" w:val="clear"/>
        <w:spacing w:after="0" w:before="0" w:line="320" w:lineRule="auto"/>
        <w:jc w:val="center"/>
        <w:rPr>
          <w:color w:val="555555"/>
          <w:sz w:val="22"/>
          <w:szCs w:val="22"/>
        </w:rPr>
      </w:pPr>
      <w:bookmarkStart w:colFirst="0" w:colLast="0" w:name="_kk2tlswj2k44" w:id="2"/>
      <w:bookmarkEnd w:id="2"/>
      <w:r w:rsidDel="00000000" w:rsidR="00000000" w:rsidRPr="00000000">
        <w:rPr>
          <w:color w:val="555555"/>
          <w:sz w:val="22"/>
          <w:szCs w:val="22"/>
          <w:rtl w:val="0"/>
        </w:rPr>
        <w:t xml:space="preserve">figure 3</w:t>
      </w:r>
    </w:p>
    <w:p w:rsidR="00000000" w:rsidDel="00000000" w:rsidP="00000000" w:rsidRDefault="00000000" w:rsidRPr="00000000" w14:paraId="0000000D">
      <w:pPr>
        <w:widowControl w:val="0"/>
        <w:shd w:fill="ffffff" w:val="clear"/>
        <w:spacing w:after="240" w:before="240" w:line="240" w:lineRule="auto"/>
        <w:rPr>
          <w:color w:val="222222"/>
          <w:sz w:val="36"/>
          <w:szCs w:val="36"/>
        </w:rPr>
      </w:pPr>
      <w:r w:rsidDel="00000000" w:rsidR="00000000" w:rsidRPr="00000000">
        <w:rPr>
          <w:color w:val="555555"/>
          <w:rtl w:val="0"/>
        </w:rPr>
        <w:t xml:space="preserve">If “Denied” is selected, additional fields will display (figure 4).</w:t>
      </w:r>
      <w:r w:rsidDel="00000000" w:rsidR="00000000" w:rsidRPr="00000000">
        <w:rPr>
          <w:rtl w:val="0"/>
        </w:rPr>
      </w:r>
    </w:p>
    <w:p w:rsidR="00000000" w:rsidDel="00000000" w:rsidP="00000000" w:rsidRDefault="00000000" w:rsidRPr="00000000" w14:paraId="0000000E">
      <w:pPr>
        <w:pStyle w:val="Heading3"/>
        <w:keepNext w:val="0"/>
        <w:keepLines w:val="0"/>
        <w:widowControl w:val="0"/>
        <w:shd w:fill="ffffff" w:val="clear"/>
        <w:spacing w:after="0" w:before="0" w:line="320" w:lineRule="auto"/>
        <w:jc w:val="center"/>
        <w:rPr>
          <w:color w:val="222222"/>
          <w:sz w:val="36"/>
          <w:szCs w:val="36"/>
        </w:rPr>
      </w:pPr>
      <w:bookmarkStart w:colFirst="0" w:colLast="0" w:name="_lvget2jey3rq" w:id="3"/>
      <w:bookmarkEnd w:id="3"/>
      <w:r w:rsidDel="00000000" w:rsidR="00000000" w:rsidRPr="00000000">
        <w:rPr>
          <w:color w:val="222222"/>
          <w:sz w:val="36"/>
          <w:szCs w:val="36"/>
        </w:rPr>
        <w:drawing>
          <wp:inline distB="114300" distT="114300" distL="114300" distR="114300">
            <wp:extent cx="4371975" cy="2450037"/>
            <wp:effectExtent b="0" l="0" r="0" t="0"/>
            <wp:docPr descr="image1.png" id="4" name="image4.png"/>
            <a:graphic>
              <a:graphicData uri="http://schemas.openxmlformats.org/drawingml/2006/picture">
                <pic:pic>
                  <pic:nvPicPr>
                    <pic:cNvPr descr="image1.png" id="0" name="image4.png"/>
                    <pic:cNvPicPr preferRelativeResize="0"/>
                  </pic:nvPicPr>
                  <pic:blipFill>
                    <a:blip r:embed="rId10"/>
                    <a:srcRect b="0" l="0" r="0" t="0"/>
                    <a:stretch>
                      <a:fillRect/>
                    </a:stretch>
                  </pic:blipFill>
                  <pic:spPr>
                    <a:xfrm>
                      <a:off x="0" y="0"/>
                      <a:ext cx="4371975" cy="2450037"/>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widowControl w:val="0"/>
        <w:shd w:fill="ffffff" w:val="clear"/>
        <w:spacing w:after="240" w:before="240" w:line="240" w:lineRule="auto"/>
        <w:jc w:val="center"/>
        <w:rPr>
          <w:color w:val="222222"/>
        </w:rPr>
      </w:pPr>
      <w:r w:rsidDel="00000000" w:rsidR="00000000" w:rsidRPr="00000000">
        <w:rPr>
          <w:color w:val="555555"/>
          <w:rtl w:val="0"/>
        </w:rPr>
        <w:t xml:space="preserve">figure 4</w:t>
      </w:r>
      <w:r w:rsidDel="00000000" w:rsidR="00000000" w:rsidRPr="00000000">
        <w:rPr>
          <w:rtl w:val="0"/>
        </w:rPr>
      </w:r>
    </w:p>
    <w:p w:rsidR="00000000" w:rsidDel="00000000" w:rsidP="00000000" w:rsidRDefault="00000000" w:rsidRPr="00000000" w14:paraId="00000010">
      <w:pPr>
        <w:widowControl w:val="0"/>
        <w:numPr>
          <w:ilvl w:val="0"/>
          <w:numId w:val="1"/>
        </w:numPr>
        <w:shd w:fill="ffffff" w:val="clear"/>
        <w:spacing w:after="0" w:afterAutospacing="0" w:before="240" w:line="240" w:lineRule="auto"/>
        <w:ind w:left="720" w:hanging="360"/>
        <w:jc w:val="center"/>
        <w:rPr>
          <w:color w:val="555555"/>
          <w:u w:val="none"/>
        </w:rPr>
      </w:pPr>
      <w:r w:rsidDel="00000000" w:rsidR="00000000" w:rsidRPr="00000000">
        <w:rPr>
          <w:color w:val="555555"/>
          <w:rtl w:val="0"/>
        </w:rPr>
        <w:t xml:space="preserve">Denied by Type: allows the user to indicate if the referral was denied by the agency (“Provider”) or if the client declined services (“Client”).</w:t>
      </w:r>
    </w:p>
    <w:p w:rsidR="00000000" w:rsidDel="00000000" w:rsidP="00000000" w:rsidRDefault="00000000" w:rsidRPr="00000000" w14:paraId="00000011">
      <w:pPr>
        <w:widowControl w:val="0"/>
        <w:numPr>
          <w:ilvl w:val="0"/>
          <w:numId w:val="1"/>
        </w:numPr>
        <w:shd w:fill="ffffff" w:val="clear"/>
        <w:spacing w:after="0" w:afterAutospacing="0" w:before="0" w:beforeAutospacing="0" w:line="240" w:lineRule="auto"/>
        <w:ind w:left="1020" w:hanging="360"/>
        <w:rPr>
          <w:sz w:val="22"/>
          <w:szCs w:val="22"/>
        </w:rPr>
      </w:pPr>
      <w:r w:rsidDel="00000000" w:rsidR="00000000" w:rsidRPr="00000000">
        <w:rPr>
          <w:color w:val="555555"/>
          <w:rtl w:val="0"/>
        </w:rPr>
        <w:t xml:space="preserve">Denied Reason: the reason the referral was denied. This field is required.</w:t>
      </w:r>
    </w:p>
    <w:p w:rsidR="00000000" w:rsidDel="00000000" w:rsidP="00000000" w:rsidRDefault="00000000" w:rsidRPr="00000000" w14:paraId="00000012">
      <w:pPr>
        <w:widowControl w:val="0"/>
        <w:numPr>
          <w:ilvl w:val="0"/>
          <w:numId w:val="1"/>
        </w:numPr>
        <w:shd w:fill="ffffff" w:val="clear"/>
        <w:spacing w:after="600" w:before="0" w:beforeAutospacing="0" w:line="240" w:lineRule="auto"/>
        <w:ind w:left="1020" w:hanging="360"/>
        <w:rPr>
          <w:sz w:val="22"/>
          <w:szCs w:val="22"/>
        </w:rPr>
      </w:pPr>
      <w:r w:rsidDel="00000000" w:rsidR="00000000" w:rsidRPr="00000000">
        <w:rPr>
          <w:color w:val="555555"/>
          <w:rtl w:val="0"/>
        </w:rPr>
        <w:t xml:space="preserve">Denial Information: a text box to record a note about the reason the referral was denied. This field is required.</w:t>
      </w:r>
    </w:p>
    <w:p w:rsidR="00000000" w:rsidDel="00000000" w:rsidP="00000000" w:rsidRDefault="00000000" w:rsidRPr="00000000" w14:paraId="00000013">
      <w:pPr>
        <w:widowControl w:val="0"/>
        <w:shd w:fill="ffffff" w:val="clear"/>
        <w:spacing w:after="600" w:before="600" w:line="240" w:lineRule="auto"/>
        <w:rPr>
          <w:b w:val="1"/>
          <w:color w:val="555555"/>
          <w:sz w:val="24"/>
          <w:szCs w:val="24"/>
        </w:rPr>
      </w:pPr>
      <w:r w:rsidDel="00000000" w:rsidR="00000000" w:rsidRPr="00000000">
        <w:rPr>
          <w:b w:val="1"/>
          <w:color w:val="555555"/>
          <w:sz w:val="24"/>
          <w:szCs w:val="24"/>
          <w:rtl w:val="0"/>
        </w:rPr>
        <w:t xml:space="preserve">Accepting a Referral </w:t>
      </w:r>
    </w:p>
    <w:p w:rsidR="00000000" w:rsidDel="00000000" w:rsidP="00000000" w:rsidRDefault="00000000" w:rsidRPr="00000000" w14:paraId="00000014">
      <w:pPr>
        <w:widowControl w:val="0"/>
        <w:shd w:fill="ffffff" w:val="clear"/>
        <w:spacing w:after="240" w:before="240" w:line="240" w:lineRule="auto"/>
        <w:rPr>
          <w:color w:val="555555"/>
        </w:rPr>
      </w:pPr>
      <w:r w:rsidDel="00000000" w:rsidR="00000000" w:rsidRPr="00000000">
        <w:rPr>
          <w:color w:val="555555"/>
          <w:rtl w:val="0"/>
        </w:rPr>
        <w:t xml:space="preserve">W</w:t>
      </w:r>
      <w:r w:rsidDel="00000000" w:rsidR="00000000" w:rsidRPr="00000000">
        <w:rPr>
          <w:color w:val="555555"/>
          <w:rtl w:val="0"/>
        </w:rPr>
        <w:t xml:space="preserve">hen </w:t>
      </w:r>
      <w:hyperlink r:id="rId11">
        <w:r w:rsidDel="00000000" w:rsidR="00000000" w:rsidRPr="00000000">
          <w:rPr>
            <w:color w:val="214469"/>
            <w:rtl w:val="0"/>
          </w:rPr>
          <w:t xml:space="preserve">enrolling a client or household in a program</w:t>
        </w:r>
      </w:hyperlink>
      <w:r w:rsidDel="00000000" w:rsidR="00000000" w:rsidRPr="00000000">
        <w:rPr>
          <w:color w:val="555555"/>
          <w:rtl w:val="0"/>
        </w:rPr>
        <w:t xml:space="preserve">, you can indicate the enrollment is the result of an open referral by toggling on “Program Placement a result of Referral provided by (referring agency)” (figure 5). When the enrollment is recorded with this toggle on, an end date will be recorded for the open referral, and the enrollment information will be added to the </w:t>
      </w:r>
      <w:r w:rsidDel="00000000" w:rsidR="00000000" w:rsidRPr="00000000">
        <w:rPr>
          <w:i w:val="1"/>
          <w:color w:val="555555"/>
          <w:rtl w:val="0"/>
        </w:rPr>
        <w:t xml:space="preserve">Referral Connections</w:t>
      </w:r>
      <w:r w:rsidDel="00000000" w:rsidR="00000000" w:rsidRPr="00000000">
        <w:rPr>
          <w:color w:val="555555"/>
          <w:rtl w:val="0"/>
        </w:rPr>
        <w:t xml:space="preserve"> section. </w:t>
      </w:r>
    </w:p>
    <w:p w:rsidR="00000000" w:rsidDel="00000000" w:rsidP="00000000" w:rsidRDefault="00000000" w:rsidRPr="00000000" w14:paraId="00000015">
      <w:pPr>
        <w:widowControl w:val="0"/>
        <w:shd w:fill="ffffff" w:val="clear"/>
        <w:spacing w:after="240" w:before="240" w:line="240" w:lineRule="auto"/>
        <w:rPr>
          <w:color w:val="555555"/>
          <w:sz w:val="24"/>
          <w:szCs w:val="24"/>
        </w:rPr>
      </w:pPr>
      <w:r w:rsidDel="00000000" w:rsidR="00000000" w:rsidRPr="00000000">
        <w:rPr>
          <w:color w:val="555555"/>
          <w:sz w:val="24"/>
          <w:szCs w:val="24"/>
          <w:rtl w:val="0"/>
        </w:rPr>
        <w:t xml:space="preserve"> </w:t>
      </w:r>
    </w:p>
    <w:p w:rsidR="00000000" w:rsidDel="00000000" w:rsidP="00000000" w:rsidRDefault="00000000" w:rsidRPr="00000000" w14:paraId="00000016">
      <w:pPr>
        <w:widowControl w:val="0"/>
        <w:shd w:fill="ffffff" w:val="clear"/>
        <w:spacing w:after="240" w:before="240" w:line="240" w:lineRule="auto"/>
        <w:jc w:val="center"/>
        <w:rPr>
          <w:color w:val="555555"/>
          <w:sz w:val="24"/>
          <w:szCs w:val="24"/>
        </w:rPr>
      </w:pPr>
      <w:r w:rsidDel="00000000" w:rsidR="00000000" w:rsidRPr="00000000">
        <w:rPr>
          <w:color w:val="555555"/>
          <w:sz w:val="24"/>
          <w:szCs w:val="24"/>
          <w:rtl w:val="0"/>
        </w:rPr>
        <w:t xml:space="preserve"> </w:t>
      </w:r>
      <w:r w:rsidDel="00000000" w:rsidR="00000000" w:rsidRPr="00000000">
        <w:rPr>
          <w:color w:val="555555"/>
          <w:sz w:val="24"/>
          <w:szCs w:val="24"/>
        </w:rPr>
        <w:drawing>
          <wp:inline distB="114300" distT="114300" distL="114300" distR="114300">
            <wp:extent cx="5434013" cy="984044"/>
            <wp:effectExtent b="0" l="0" r="0" t="0"/>
            <wp:docPr descr="image3.png" id="6" name="image3.png"/>
            <a:graphic>
              <a:graphicData uri="http://schemas.openxmlformats.org/drawingml/2006/picture">
                <pic:pic>
                  <pic:nvPicPr>
                    <pic:cNvPr descr="image3.png" id="0" name="image3.png"/>
                    <pic:cNvPicPr preferRelativeResize="0"/>
                  </pic:nvPicPr>
                  <pic:blipFill>
                    <a:blip r:embed="rId12"/>
                    <a:srcRect b="0" l="0" r="0" t="0"/>
                    <a:stretch>
                      <a:fillRect/>
                    </a:stretch>
                  </pic:blipFill>
                  <pic:spPr>
                    <a:xfrm>
                      <a:off x="0" y="0"/>
                      <a:ext cx="5434013" cy="984044"/>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widowControl w:val="0"/>
        <w:shd w:fill="ffffff" w:val="clear"/>
        <w:spacing w:after="240" w:before="240" w:line="240" w:lineRule="auto"/>
        <w:jc w:val="center"/>
        <w:rPr>
          <w:color w:val="555555"/>
        </w:rPr>
      </w:pPr>
      <w:r w:rsidDel="00000000" w:rsidR="00000000" w:rsidRPr="00000000">
        <w:rPr>
          <w:color w:val="555555"/>
          <w:rtl w:val="0"/>
        </w:rPr>
        <w:t xml:space="preserve">figure 5</w:t>
      </w:r>
      <w:r w:rsidDel="00000000" w:rsidR="00000000" w:rsidRPr="00000000">
        <w:rPr>
          <w:rtl w:val="0"/>
        </w:rPr>
      </w:r>
    </w:p>
    <w:p w:rsidR="00000000" w:rsidDel="00000000" w:rsidP="00000000" w:rsidRDefault="00000000" w:rsidRPr="00000000" w14:paraId="00000018">
      <w:pPr>
        <w:widowControl w:val="0"/>
        <w:spacing w:before="160" w:line="240" w:lineRule="auto"/>
        <w:rPr>
          <w:sz w:val="20"/>
          <w:szCs w:val="20"/>
        </w:rPr>
      </w:pPr>
      <w:r w:rsidDel="00000000" w:rsidR="00000000" w:rsidRPr="00000000">
        <w:rPr>
          <w:rtl w:val="0"/>
        </w:rPr>
      </w:r>
    </w:p>
    <w:p w:rsidR="00000000" w:rsidDel="00000000" w:rsidP="00000000" w:rsidRDefault="00000000" w:rsidRPr="00000000" w14:paraId="00000019">
      <w:pPr>
        <w:widowControl w:val="0"/>
        <w:spacing w:before="160" w:line="240" w:lineRule="auto"/>
        <w:rPr>
          <w:sz w:val="20"/>
          <w:szCs w:val="20"/>
        </w:rPr>
      </w:pPr>
      <w:r w:rsidDel="00000000" w:rsidR="00000000" w:rsidRPr="00000000">
        <w:rPr>
          <w:rtl w:val="0"/>
        </w:rPr>
      </w:r>
    </w:p>
    <w:p w:rsidR="00000000" w:rsidDel="00000000" w:rsidP="00000000" w:rsidRDefault="00000000" w:rsidRPr="00000000" w14:paraId="0000001A">
      <w:pPr>
        <w:widowControl w:val="0"/>
        <w:spacing w:before="160" w:line="240" w:lineRule="auto"/>
        <w:rPr>
          <w:color w:val="d5dae3"/>
          <w:sz w:val="28"/>
          <w:szCs w:val="28"/>
        </w:rPr>
      </w:pPr>
      <w:r w:rsidDel="00000000" w:rsidR="00000000" w:rsidRPr="00000000">
        <w:rPr>
          <w:rtl w:val="0"/>
        </w:rPr>
      </w:r>
    </w:p>
    <w:p w:rsidR="00000000" w:rsidDel="00000000" w:rsidP="00000000" w:rsidRDefault="00000000" w:rsidRPr="00000000" w14:paraId="0000001B">
      <w:pPr>
        <w:widowControl w:val="0"/>
        <w:spacing w:before="160" w:line="240" w:lineRule="auto"/>
        <w:rPr>
          <w:sz w:val="28"/>
          <w:szCs w:val="28"/>
        </w:rPr>
      </w:pPr>
      <w:r w:rsidDel="00000000" w:rsidR="00000000" w:rsidRPr="00000000">
        <w:rPr>
          <w:rtl w:val="0"/>
        </w:rPr>
      </w:r>
    </w:p>
    <w:p w:rsidR="00000000" w:rsidDel="00000000" w:rsidP="00000000" w:rsidRDefault="00000000" w:rsidRPr="00000000" w14:paraId="0000001C">
      <w:pPr>
        <w:widowControl w:val="0"/>
        <w:spacing w:before="160" w:line="240" w:lineRule="auto"/>
        <w:ind w:left="0" w:firstLine="0"/>
        <w:rPr>
          <w:sz w:val="28"/>
          <w:szCs w:val="28"/>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b w:val="1"/>
        <w:color w:val="0b5394"/>
        <w:sz w:val="36"/>
        <w:szCs w:val="36"/>
      </w:rPr>
    </w:pPr>
    <w:r w:rsidDel="00000000" w:rsidR="00000000" w:rsidRPr="00000000">
      <w:rPr>
        <w:b w:val="1"/>
        <w:color w:val="0b5394"/>
        <w:sz w:val="36"/>
        <w:szCs w:val="36"/>
        <w:rtl w:val="0"/>
      </w:rPr>
      <w:t xml:space="preserve"> </w:t>
    </w:r>
    <w:r w:rsidDel="00000000" w:rsidR="00000000" w:rsidRPr="00000000">
      <w:rPr>
        <w:b w:val="1"/>
        <w:color w:val="0b5394"/>
        <w:sz w:val="36"/>
        <w:szCs w:val="36"/>
      </w:rPr>
      <w:drawing>
        <wp:inline distB="114300" distT="114300" distL="114300" distR="114300">
          <wp:extent cx="1274672" cy="523838"/>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74672" cy="523838"/>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jc w:val="center"/>
      <w:rPr>
        <w:color w:val="214469"/>
      </w:rPr>
    </w:pPr>
    <w:r w:rsidDel="00000000" w:rsidR="00000000" w:rsidRPr="00000000">
      <w:rPr>
        <w:b w:val="1"/>
        <w:color w:val="214469"/>
        <w:sz w:val="36"/>
        <w:szCs w:val="36"/>
        <w:rtl w:val="0"/>
      </w:rPr>
      <w:t xml:space="preserve">Marin- </w:t>
    </w:r>
    <w:r w:rsidDel="00000000" w:rsidR="00000000" w:rsidRPr="00000000">
      <w:rPr>
        <w:b w:val="1"/>
        <w:color w:val="214469"/>
        <w:sz w:val="36"/>
        <w:szCs w:val="36"/>
        <w:rtl w:val="0"/>
      </w:rPr>
      <w:t xml:space="preserve">Managing Referrals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555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et.clarityhs.help/hc/en-us/articles/115000443407" TargetMode="External"/><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6.png"/><Relationship Id="rId8" Type="http://schemas.openxmlformats.org/officeDocument/2006/relationships/hyperlink" Target="https://get.clarityhs.help/hc/en-us/articles/360046347753-Referrals-the-Pending-T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