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B3B8" w14:textId="6537CAF6" w:rsidR="0074523D" w:rsidRDefault="0074523D" w:rsidP="0074523D">
      <w:pPr>
        <w:pStyle w:val="Heading2"/>
        <w:rPr>
          <w:sz w:val="22"/>
          <w:szCs w:val="22"/>
        </w:rPr>
      </w:pPr>
      <w:bookmarkStart w:id="0" w:name="_Toc409173736"/>
      <w:bookmarkStart w:id="1" w:name="_GoBack"/>
      <w:bookmarkEnd w:id="1"/>
      <w:r>
        <w:t>Appendix H.  HEAP and CESH Program Outcomes Logic Model</w:t>
      </w:r>
      <w:bookmarkEnd w:id="0"/>
    </w:p>
    <w:p w14:paraId="6D3F5F13" w14:textId="77777777" w:rsidR="0074523D" w:rsidRPr="00CD2037" w:rsidRDefault="0074523D" w:rsidP="0074523D">
      <w:pPr>
        <w:pStyle w:val="Normal1"/>
        <w:rPr>
          <w:rFonts w:ascii="Calibri" w:hAnsi="Calibri"/>
          <w:i/>
          <w:color w:val="auto"/>
          <w:sz w:val="28"/>
          <w:szCs w:val="28"/>
        </w:rPr>
      </w:pPr>
      <w:r w:rsidRPr="00CD2037">
        <w:rPr>
          <w:rFonts w:ascii="Calibri" w:hAnsi="Calibri"/>
          <w:i/>
          <w:color w:val="auto"/>
          <w:sz w:val="28"/>
          <w:szCs w:val="28"/>
        </w:rPr>
        <w:t xml:space="preserve">Program Outcomes Logic Model </w:t>
      </w:r>
    </w:p>
    <w:p w14:paraId="332F55D0" w14:textId="725127A2" w:rsidR="0074523D" w:rsidRPr="00CD2037" w:rsidRDefault="0074523D" w:rsidP="0074523D">
      <w:pPr>
        <w:pStyle w:val="Normal1"/>
        <w:spacing w:line="360" w:lineRule="auto"/>
      </w:pPr>
      <w:r w:rsidRPr="00CD2037">
        <w:t>Project Title: __________________________________________</w:t>
      </w:r>
      <w:r>
        <w:t xml:space="preserve"> </w:t>
      </w:r>
      <w:r w:rsidRPr="00CD2037">
        <w:t>Agency Name</w:t>
      </w:r>
      <w:r>
        <w:t>:</w:t>
      </w:r>
      <w:r w:rsidRPr="00CD2037">
        <w:t>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2449"/>
        <w:gridCol w:w="2584"/>
        <w:gridCol w:w="3190"/>
        <w:gridCol w:w="2810"/>
      </w:tblGrid>
      <w:tr w:rsidR="0074523D" w:rsidRPr="00CD2037" w14:paraId="4244F13B" w14:textId="77777777" w:rsidTr="004B781E">
        <w:trPr>
          <w:trHeight w:val="525"/>
        </w:trPr>
        <w:tc>
          <w:tcPr>
            <w:tcW w:w="1168" w:type="dxa"/>
            <w:vMerge w:val="restart"/>
            <w:tcBorders>
              <w:left w:val="single" w:sz="4" w:space="0" w:color="auto"/>
            </w:tcBorders>
            <w:shd w:val="clear" w:color="auto" w:fill="A6A6A6"/>
          </w:tcPr>
          <w:p w14:paraId="39FBD46B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5033" w:type="dxa"/>
            <w:gridSpan w:val="2"/>
            <w:shd w:val="clear" w:color="auto" w:fill="000000" w:themeFill="text1"/>
            <w:vAlign w:val="center"/>
          </w:tcPr>
          <w:p w14:paraId="0D10EE22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 xml:space="preserve">OUTPUTS: </w:t>
            </w:r>
            <w:r w:rsidRPr="00CD2037">
              <w:rPr>
                <w:rFonts w:asciiTheme="minorHAnsi" w:eastAsia="Calibri" w:hAnsiTheme="minorHAnsi"/>
                <w:b/>
                <w:u w:val="single"/>
              </w:rPr>
              <w:t>How much</w:t>
            </w:r>
            <w:r w:rsidRPr="00CD2037">
              <w:rPr>
                <w:rFonts w:asciiTheme="minorHAnsi" w:eastAsia="Calibri" w:hAnsiTheme="minorHAnsi"/>
                <w:b/>
              </w:rPr>
              <w:t xml:space="preserve"> will you do, for whom?</w:t>
            </w:r>
          </w:p>
        </w:tc>
        <w:tc>
          <w:tcPr>
            <w:tcW w:w="3190" w:type="dxa"/>
            <w:shd w:val="clear" w:color="auto" w:fill="000000" w:themeFill="text1"/>
            <w:vAlign w:val="center"/>
          </w:tcPr>
          <w:p w14:paraId="5D8C38FC" w14:textId="77777777" w:rsidR="0074523D" w:rsidRPr="00CD2037" w:rsidRDefault="0074523D" w:rsidP="004B781E">
            <w:pPr>
              <w:jc w:val="center"/>
              <w:rPr>
                <w:rFonts w:asciiTheme="minorHAnsi" w:hAnsiTheme="minorHAnsi"/>
                <w:b/>
              </w:rPr>
            </w:pPr>
            <w:r w:rsidRPr="00CD2037">
              <w:rPr>
                <w:rFonts w:asciiTheme="minorHAnsi" w:hAnsiTheme="minorHAnsi"/>
                <w:b/>
              </w:rPr>
              <w:t xml:space="preserve">OUTCOMES: How will participants be </w:t>
            </w:r>
            <w:r w:rsidRPr="00CD2037">
              <w:rPr>
                <w:rFonts w:asciiTheme="minorHAnsi" w:hAnsiTheme="minorHAnsi"/>
                <w:b/>
                <w:u w:val="single"/>
              </w:rPr>
              <w:t>better off</w:t>
            </w:r>
            <w:r w:rsidRPr="00CD2037">
              <w:rPr>
                <w:rFonts w:asciiTheme="minorHAnsi" w:hAnsiTheme="minorHAnsi"/>
                <w:b/>
              </w:rPr>
              <w:t xml:space="preserve"> as a result of your program or services?</w:t>
            </w:r>
          </w:p>
        </w:tc>
        <w:tc>
          <w:tcPr>
            <w:tcW w:w="2810" w:type="dxa"/>
            <w:shd w:val="clear" w:color="auto" w:fill="000000" w:themeFill="text1"/>
          </w:tcPr>
          <w:p w14:paraId="677302F2" w14:textId="32DE4C96" w:rsidR="0074523D" w:rsidRPr="00CD2037" w:rsidRDefault="0074523D" w:rsidP="004B781E">
            <w:pPr>
              <w:jc w:val="center"/>
              <w:rPr>
                <w:rFonts w:asciiTheme="minorHAnsi" w:hAnsiTheme="minorHAnsi"/>
                <w:b/>
              </w:rPr>
            </w:pPr>
            <w:r w:rsidRPr="00CD2037">
              <w:rPr>
                <w:rFonts w:asciiTheme="minorHAnsi" w:hAnsiTheme="minorHAnsi"/>
                <w:b/>
              </w:rPr>
              <w:t>IMPACT</w:t>
            </w:r>
            <w:r>
              <w:rPr>
                <w:rStyle w:val="FootnoteReference"/>
                <w:rFonts w:asciiTheme="minorHAnsi" w:hAnsiTheme="minorHAnsi"/>
                <w:b/>
              </w:rPr>
              <w:footnoteReference w:id="1"/>
            </w:r>
            <w:r w:rsidRPr="00CD2037">
              <w:rPr>
                <w:rFonts w:asciiTheme="minorHAnsi" w:hAnsiTheme="minorHAnsi"/>
                <w:b/>
              </w:rPr>
              <w:t xml:space="preserve">: What </w:t>
            </w:r>
            <w:r w:rsidRPr="00CD2037">
              <w:rPr>
                <w:rFonts w:asciiTheme="minorHAnsi" w:hAnsiTheme="minorHAnsi"/>
                <w:b/>
                <w:u w:val="single"/>
              </w:rPr>
              <w:t>community-level results</w:t>
            </w:r>
            <w:r w:rsidRPr="00CD2037">
              <w:rPr>
                <w:rFonts w:asciiTheme="minorHAnsi" w:hAnsiTheme="minorHAnsi"/>
                <w:b/>
              </w:rPr>
              <w:t xml:space="preserve"> will your program-level outcomes contribute to?</w:t>
            </w:r>
          </w:p>
        </w:tc>
      </w:tr>
      <w:tr w:rsidR="0074523D" w:rsidRPr="00CD2037" w14:paraId="027C1919" w14:textId="77777777" w:rsidTr="004B781E">
        <w:trPr>
          <w:trHeight w:val="676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69E72CD0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</w:p>
        </w:tc>
        <w:tc>
          <w:tcPr>
            <w:tcW w:w="2449" w:type="dxa"/>
            <w:shd w:val="clear" w:color="auto" w:fill="A6A6A6"/>
            <w:vAlign w:val="center"/>
          </w:tcPr>
          <w:p w14:paraId="64AF133C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>Number and Type of Activities</w:t>
            </w:r>
          </w:p>
        </w:tc>
        <w:tc>
          <w:tcPr>
            <w:tcW w:w="2584" w:type="dxa"/>
            <w:shd w:val="clear" w:color="auto" w:fill="A6A6A6"/>
            <w:vAlign w:val="center"/>
          </w:tcPr>
          <w:p w14:paraId="2B81BF50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 xml:space="preserve">Number and Type </w:t>
            </w:r>
          </w:p>
          <w:p w14:paraId="2B9523B9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>of Participants</w:t>
            </w:r>
          </w:p>
        </w:tc>
        <w:tc>
          <w:tcPr>
            <w:tcW w:w="3190" w:type="dxa"/>
            <w:shd w:val="clear" w:color="auto" w:fill="A6A6A6"/>
            <w:vAlign w:val="center"/>
          </w:tcPr>
          <w:p w14:paraId="13884AE0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 xml:space="preserve">Program-Level Outcomes </w:t>
            </w:r>
          </w:p>
        </w:tc>
        <w:tc>
          <w:tcPr>
            <w:tcW w:w="2810" w:type="dxa"/>
            <w:shd w:val="clear" w:color="auto" w:fill="A6A6A6"/>
          </w:tcPr>
          <w:p w14:paraId="6EAD1E9B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CD2037">
              <w:rPr>
                <w:rFonts w:asciiTheme="minorHAnsi" w:eastAsia="Calibri" w:hAnsiTheme="minorHAnsi"/>
                <w:b/>
              </w:rPr>
              <w:t>Community-Level Impacts</w:t>
            </w:r>
          </w:p>
        </w:tc>
      </w:tr>
      <w:tr w:rsidR="0074523D" w:rsidRPr="00CD2037" w14:paraId="1C884FB6" w14:textId="77777777" w:rsidTr="004B781E">
        <w:trPr>
          <w:trHeight w:val="20"/>
        </w:trPr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DB8010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  <w:szCs w:val="22"/>
              </w:rPr>
            </w:pPr>
            <w:r w:rsidRPr="00CD2037">
              <w:rPr>
                <w:rFonts w:asciiTheme="minorHAnsi" w:eastAsia="Calibri" w:hAnsiTheme="minorHAnsi"/>
                <w:b/>
                <w:szCs w:val="22"/>
              </w:rPr>
              <w:t>Example</w:t>
            </w:r>
          </w:p>
        </w:tc>
        <w:tc>
          <w:tcPr>
            <w:tcW w:w="2449" w:type="dxa"/>
          </w:tcPr>
          <w:p w14:paraId="18CCD78F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t>Services: Street outreach</w:t>
            </w:r>
          </w:p>
        </w:tc>
        <w:tc>
          <w:tcPr>
            <w:tcW w:w="2584" w:type="dxa"/>
          </w:tcPr>
          <w:p w14:paraId="0576492B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t>50 individuals and/or families annually</w:t>
            </w:r>
          </w:p>
        </w:tc>
        <w:tc>
          <w:tcPr>
            <w:tcW w:w="3190" w:type="dxa"/>
          </w:tcPr>
          <w:p w14:paraId="25E19D49" w14:textId="1DD683F1" w:rsidR="0074523D" w:rsidRPr="00CD2037" w:rsidRDefault="00866434" w:rsidP="004B781E">
            <w:pPr>
              <w:rPr>
                <w:rFonts w:asciiTheme="minorHAnsi" w:eastAsia="Calibri" w:hAnsiTheme="minorHAnsi"/>
                <w:szCs w:val="22"/>
              </w:rPr>
            </w:pPr>
            <w:r>
              <w:rPr>
                <w:rFonts w:asciiTheme="minorHAnsi" w:eastAsia="Calibri" w:hAnsiTheme="minorHAnsi"/>
                <w:szCs w:val="22"/>
              </w:rPr>
              <w:t>X%</w:t>
            </w:r>
            <w:r w:rsidR="0074523D" w:rsidRPr="00CD2037">
              <w:rPr>
                <w:rFonts w:asciiTheme="minorHAnsi" w:eastAsia="Calibri" w:hAnsiTheme="minorHAnsi"/>
                <w:szCs w:val="22"/>
              </w:rPr>
              <w:t xml:space="preserve"> of program participants outreached </w:t>
            </w:r>
            <w:r w:rsidR="00E715C9">
              <w:rPr>
                <w:rFonts w:asciiTheme="minorHAnsi" w:eastAsia="Calibri" w:hAnsiTheme="minorHAnsi"/>
                <w:szCs w:val="22"/>
              </w:rPr>
              <w:t>who</w:t>
            </w:r>
            <w:r w:rsidR="0074523D" w:rsidRPr="00CD2037">
              <w:rPr>
                <w:rFonts w:asciiTheme="minorHAnsi" w:eastAsia="Calibri" w:hAnsiTheme="minorHAnsi"/>
                <w:szCs w:val="22"/>
              </w:rPr>
              <w:t xml:space="preserve"> complete Smart Path CES Assessment.</w:t>
            </w:r>
          </w:p>
          <w:p w14:paraId="5B5BC8DE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</w:p>
          <w:p w14:paraId="6B35D432" w14:textId="499078A9" w:rsidR="0074523D" w:rsidRPr="00CD2037" w:rsidRDefault="00866434" w:rsidP="004B781E">
            <w:pPr>
              <w:rPr>
                <w:rFonts w:asciiTheme="minorHAnsi" w:eastAsia="Calibri" w:hAnsiTheme="minorHAnsi"/>
                <w:szCs w:val="22"/>
              </w:rPr>
            </w:pPr>
            <w:r>
              <w:rPr>
                <w:rFonts w:asciiTheme="minorHAnsi" w:eastAsia="Calibri" w:hAnsiTheme="minorHAnsi"/>
                <w:szCs w:val="22"/>
              </w:rPr>
              <w:t>X%</w:t>
            </w:r>
            <w:r w:rsidR="0074523D" w:rsidRPr="00CD2037">
              <w:rPr>
                <w:rFonts w:asciiTheme="minorHAnsi" w:eastAsia="Calibri" w:hAnsiTheme="minorHAnsi"/>
                <w:szCs w:val="22"/>
              </w:rPr>
              <w:t xml:space="preserve"> of program participants outreached </w:t>
            </w:r>
            <w:r w:rsidR="00E715C9">
              <w:rPr>
                <w:rFonts w:asciiTheme="minorHAnsi" w:eastAsia="Calibri" w:hAnsiTheme="minorHAnsi"/>
                <w:szCs w:val="22"/>
              </w:rPr>
              <w:t xml:space="preserve">who </w:t>
            </w:r>
            <w:r w:rsidR="0074523D" w:rsidRPr="00CD2037">
              <w:rPr>
                <w:rFonts w:asciiTheme="minorHAnsi" w:eastAsia="Calibri" w:hAnsiTheme="minorHAnsi"/>
                <w:szCs w:val="22"/>
              </w:rPr>
              <w:t>are placed in immediate emergency shelter.</w:t>
            </w:r>
          </w:p>
        </w:tc>
        <w:tc>
          <w:tcPr>
            <w:tcW w:w="2810" w:type="dxa"/>
          </w:tcPr>
          <w:p w14:paraId="0B1A836B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Health &amp; Wellness</w:t>
            </w:r>
          </w:p>
          <w:p w14:paraId="13306016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Lifelong Learning &amp; Education</w:t>
            </w:r>
          </w:p>
          <w:p w14:paraId="41E2F905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Economic Security &amp; Mobility</w:t>
            </w:r>
          </w:p>
          <w:p w14:paraId="3B78042B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Thriving Families</w:t>
            </w:r>
          </w:p>
          <w:p w14:paraId="0644A6D0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Social, Cultural &amp; Civic Connections</w:t>
            </w:r>
          </w:p>
          <w:p w14:paraId="12C02E17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Healthy Environments</w:t>
            </w:r>
          </w:p>
          <w:p w14:paraId="71B4E87E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Safe, Just Community</w:t>
            </w:r>
          </w:p>
          <w:p w14:paraId="44481632" w14:textId="77777777" w:rsidR="0074523D" w:rsidRPr="00CD2037" w:rsidRDefault="0074523D" w:rsidP="0074523D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</w:rPr>
            </w:pPr>
            <w:r w:rsidRPr="00CD2037">
              <w:rPr>
                <w:rFonts w:eastAsia="Calibri"/>
                <w:szCs w:val="22"/>
              </w:rPr>
              <w:t>Stable, Affordable Housing &amp; Shelter</w:t>
            </w:r>
          </w:p>
        </w:tc>
      </w:tr>
      <w:tr w:rsidR="0074523D" w:rsidRPr="00CD2037" w14:paraId="52BA3185" w14:textId="77777777" w:rsidTr="004B78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66C0E6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  <w:szCs w:val="22"/>
              </w:rPr>
            </w:pPr>
            <w:r w:rsidRPr="00CD2037">
              <w:rPr>
                <w:rFonts w:asciiTheme="minorHAnsi" w:eastAsia="Calibri" w:hAnsiTheme="minorHAnsi"/>
                <w:b/>
                <w:szCs w:val="22"/>
              </w:rPr>
              <w:t>1.</w:t>
            </w:r>
          </w:p>
        </w:tc>
        <w:tc>
          <w:tcPr>
            <w:tcW w:w="2449" w:type="dxa"/>
          </w:tcPr>
          <w:p w14:paraId="650311D7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584" w:type="dxa"/>
          </w:tcPr>
          <w:p w14:paraId="41D06096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72164184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810" w:type="dxa"/>
          </w:tcPr>
          <w:p w14:paraId="5ADC5BCA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</w:p>
        </w:tc>
      </w:tr>
      <w:tr w:rsidR="0074523D" w:rsidRPr="00CD2037" w14:paraId="1CBDE2C3" w14:textId="77777777" w:rsidTr="004B781E">
        <w:trPr>
          <w:trHeight w:val="20"/>
        </w:trPr>
        <w:tc>
          <w:tcPr>
            <w:tcW w:w="116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4C0A8CB0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  <w:szCs w:val="22"/>
              </w:rPr>
            </w:pPr>
            <w:r w:rsidRPr="00CD2037">
              <w:rPr>
                <w:rFonts w:asciiTheme="minorHAnsi" w:eastAsia="Calibri" w:hAnsiTheme="minorHAnsi"/>
                <w:b/>
                <w:szCs w:val="22"/>
              </w:rPr>
              <w:t>2.</w:t>
            </w:r>
          </w:p>
        </w:tc>
        <w:tc>
          <w:tcPr>
            <w:tcW w:w="2449" w:type="dxa"/>
          </w:tcPr>
          <w:p w14:paraId="4BC41FD1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584" w:type="dxa"/>
          </w:tcPr>
          <w:p w14:paraId="3E0573A3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7231FE77" w14:textId="77777777" w:rsidR="0074523D" w:rsidRPr="00CD2037" w:rsidRDefault="0074523D" w:rsidP="004B781E">
            <w:pPr>
              <w:ind w:left="-8"/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810" w:type="dxa"/>
          </w:tcPr>
          <w:p w14:paraId="02FC1BA9" w14:textId="77777777" w:rsidR="0074523D" w:rsidRPr="00CD2037" w:rsidRDefault="0074523D" w:rsidP="004B781E">
            <w:pPr>
              <w:ind w:left="-8"/>
              <w:rPr>
                <w:rFonts w:asciiTheme="minorHAnsi" w:eastAsia="Calibri" w:hAnsiTheme="minorHAnsi"/>
                <w:szCs w:val="22"/>
              </w:rPr>
            </w:pPr>
          </w:p>
        </w:tc>
      </w:tr>
      <w:tr w:rsidR="0074523D" w:rsidRPr="00CD2037" w14:paraId="2DD07BDF" w14:textId="77777777" w:rsidTr="004B781E">
        <w:trPr>
          <w:trHeight w:val="2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BB10771" w14:textId="77777777" w:rsidR="0074523D" w:rsidRPr="00CD2037" w:rsidRDefault="0074523D" w:rsidP="004B781E">
            <w:pPr>
              <w:jc w:val="center"/>
              <w:rPr>
                <w:rFonts w:asciiTheme="minorHAnsi" w:eastAsia="Calibri" w:hAnsiTheme="minorHAnsi"/>
                <w:b/>
                <w:szCs w:val="22"/>
              </w:rPr>
            </w:pPr>
            <w:r w:rsidRPr="00CD2037">
              <w:rPr>
                <w:rFonts w:asciiTheme="minorHAnsi" w:eastAsia="Calibri" w:hAnsiTheme="minorHAnsi"/>
                <w:b/>
                <w:szCs w:val="22"/>
              </w:rPr>
              <w:t>3.</w:t>
            </w:r>
          </w:p>
        </w:tc>
        <w:tc>
          <w:tcPr>
            <w:tcW w:w="2449" w:type="dxa"/>
          </w:tcPr>
          <w:p w14:paraId="1177582A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584" w:type="dxa"/>
          </w:tcPr>
          <w:p w14:paraId="2A7DFC21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3E3E52A8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  <w:r w:rsidRPr="00CD2037">
              <w:rPr>
                <w:rFonts w:asciiTheme="minorHAnsi" w:eastAsia="Calibri" w:hAnsiTheme="minorHAnsi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D2037">
              <w:rPr>
                <w:rFonts w:asciiTheme="minorHAnsi" w:eastAsia="Calibri" w:hAnsiTheme="minorHAnsi"/>
                <w:szCs w:val="22"/>
              </w:rPr>
              <w:instrText xml:space="preserve"> FORMTEXT </w:instrText>
            </w:r>
            <w:r w:rsidRPr="00CD2037">
              <w:rPr>
                <w:rFonts w:asciiTheme="minorHAnsi" w:eastAsia="Calibri" w:hAnsiTheme="minorHAnsi"/>
                <w:szCs w:val="22"/>
              </w:rPr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separate"/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>
              <w:rPr>
                <w:rFonts w:asciiTheme="minorHAnsi" w:eastAsia="Calibri" w:hAnsiTheme="minorHAnsi"/>
                <w:noProof/>
                <w:szCs w:val="22"/>
              </w:rPr>
              <w:t> </w:t>
            </w:r>
            <w:r w:rsidRPr="00CD2037">
              <w:rPr>
                <w:rFonts w:asciiTheme="minorHAnsi" w:eastAsia="Calibri" w:hAnsiTheme="minorHAnsi"/>
                <w:szCs w:val="22"/>
              </w:rPr>
              <w:fldChar w:fldCharType="end"/>
            </w:r>
          </w:p>
        </w:tc>
        <w:tc>
          <w:tcPr>
            <w:tcW w:w="2810" w:type="dxa"/>
          </w:tcPr>
          <w:p w14:paraId="77F5DA9C" w14:textId="77777777" w:rsidR="0074523D" w:rsidRPr="00CD2037" w:rsidRDefault="0074523D" w:rsidP="004B781E">
            <w:pPr>
              <w:rPr>
                <w:rFonts w:asciiTheme="minorHAnsi" w:eastAsia="Calibri" w:hAnsiTheme="minorHAnsi"/>
                <w:szCs w:val="22"/>
              </w:rPr>
            </w:pPr>
          </w:p>
        </w:tc>
      </w:tr>
    </w:tbl>
    <w:p w14:paraId="322CF4C0" w14:textId="21E26442" w:rsidR="0074523D" w:rsidRPr="00EE48A8" w:rsidRDefault="0074523D" w:rsidP="0074523D">
      <w:pPr>
        <w:pStyle w:val="Normal1"/>
        <w:rPr>
          <w:rFonts w:asciiTheme="majorHAnsi" w:hAnsiTheme="majorHAnsi"/>
          <w:sz w:val="20"/>
          <w:szCs w:val="20"/>
        </w:rPr>
      </w:pPr>
      <w:r w:rsidRPr="00EE48A8">
        <w:rPr>
          <w:rFonts w:asciiTheme="majorHAnsi" w:hAnsiTheme="majorHAnsi"/>
          <w:sz w:val="20"/>
          <w:szCs w:val="20"/>
        </w:rPr>
        <w:t xml:space="preserve">Examples of </w:t>
      </w:r>
      <w:r>
        <w:rPr>
          <w:rFonts w:asciiTheme="majorHAnsi" w:hAnsiTheme="majorHAnsi"/>
          <w:sz w:val="20"/>
          <w:szCs w:val="20"/>
        </w:rPr>
        <w:t>Program Level Outcomes</w:t>
      </w:r>
      <w:r w:rsidR="00866434">
        <w:rPr>
          <w:rFonts w:asciiTheme="majorHAnsi" w:hAnsiTheme="majorHAnsi"/>
          <w:sz w:val="20"/>
          <w:szCs w:val="20"/>
        </w:rPr>
        <w:t xml:space="preserve"> </w:t>
      </w:r>
      <w:r w:rsidR="00866434" w:rsidRPr="00866434">
        <w:rPr>
          <w:rFonts w:asciiTheme="majorHAnsi" w:hAnsiTheme="majorHAnsi"/>
          <w:b/>
          <w:i/>
          <w:sz w:val="20"/>
          <w:szCs w:val="20"/>
        </w:rPr>
        <w:t>could</w:t>
      </w:r>
      <w:r w:rsidRPr="00EE48A8">
        <w:rPr>
          <w:rFonts w:asciiTheme="majorHAnsi" w:hAnsiTheme="majorHAnsi"/>
          <w:sz w:val="20"/>
          <w:szCs w:val="20"/>
        </w:rPr>
        <w:t xml:space="preserve"> include </w:t>
      </w:r>
      <w:r w:rsidRPr="00866434">
        <w:rPr>
          <w:rFonts w:asciiTheme="majorHAnsi" w:hAnsiTheme="majorHAnsi"/>
          <w:b/>
          <w:i/>
          <w:sz w:val="20"/>
          <w:szCs w:val="20"/>
        </w:rPr>
        <w:t>but are not limited to</w:t>
      </w:r>
      <w:r w:rsidRPr="00EE48A8">
        <w:rPr>
          <w:rFonts w:asciiTheme="majorHAnsi" w:hAnsiTheme="majorHAnsi"/>
          <w:sz w:val="20"/>
          <w:szCs w:val="20"/>
        </w:rPr>
        <w:t>:</w:t>
      </w:r>
    </w:p>
    <w:p w14:paraId="01B64252" w14:textId="7A57BA2E" w:rsidR="0074523D" w:rsidRPr="00EE48A8" w:rsidRDefault="00B11340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The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number and type of person experiencing homelessness reached and served</w:t>
      </w:r>
    </w:p>
    <w:p w14:paraId="481AEBBA" w14:textId="3A3EDF3A" w:rsidR="0074523D" w:rsidRPr="00EE48A8" w:rsidRDefault="00866434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X%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of program participants complete a Smart Path CES assessment</w:t>
      </w:r>
    </w:p>
    <w:p w14:paraId="4BD2114B" w14:textId="052D0AC7" w:rsidR="0074523D" w:rsidRPr="00EE48A8" w:rsidRDefault="00866434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 xml:space="preserve">X% of 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>program participants have moved indoors, e.g., shelter</w:t>
      </w:r>
    </w:p>
    <w:p w14:paraId="54EE491B" w14:textId="0DD48FF4" w:rsidR="0074523D" w:rsidRPr="00EE48A8" w:rsidRDefault="0046559A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X%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of program participants have moved into permanent housing</w:t>
      </w:r>
    </w:p>
    <w:p w14:paraId="54776900" w14:textId="58E60CB9" w:rsidR="0074523D" w:rsidRPr="00EE48A8" w:rsidRDefault="005F7D75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T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>he average length</w:t>
      </w:r>
      <w:r w:rsidR="0026620E">
        <w:rPr>
          <w:rFonts w:asciiTheme="majorHAnsi" w:eastAsiaTheme="minorEastAsia" w:hAnsiTheme="majorHAnsi"/>
          <w:sz w:val="20"/>
          <w:szCs w:val="20"/>
          <w:lang w:eastAsia="ja-JP"/>
        </w:rPr>
        <w:t xml:space="preserve"> of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time before program participants move into permanent housing</w:t>
      </w:r>
    </w:p>
    <w:p w14:paraId="0403F6D3" w14:textId="170DC60B" w:rsidR="0074523D" w:rsidRPr="00EE48A8" w:rsidRDefault="005F7D75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T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>he average length of time that program participants who enter permanent housing remain in their housing, e.g., for 6 months, for 1 year, etc.</w:t>
      </w:r>
    </w:p>
    <w:p w14:paraId="2720BD9E" w14:textId="7A7B9331" w:rsidR="0074523D" w:rsidRPr="00EE48A8" w:rsidRDefault="0026620E" w:rsidP="0074523D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>X%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of program participants obtain needed services, for example food, basic needs, hygiene services, mainstream cash and non-cash benefits, health care, health insurance, mental health and substance use services</w:t>
      </w:r>
    </w:p>
    <w:p w14:paraId="4163197C" w14:textId="351D1BB0" w:rsidR="006B5031" w:rsidRPr="00B64E10" w:rsidRDefault="0026620E" w:rsidP="00B64E10">
      <w:pPr>
        <w:pStyle w:val="ListBullet2"/>
        <w:numPr>
          <w:ilvl w:val="0"/>
          <w:numId w:val="3"/>
        </w:numPr>
        <w:rPr>
          <w:rFonts w:asciiTheme="majorHAnsi" w:eastAsiaTheme="minorEastAsia" w:hAnsiTheme="majorHAnsi"/>
          <w:sz w:val="20"/>
          <w:szCs w:val="20"/>
          <w:lang w:eastAsia="ja-JP"/>
        </w:rPr>
      </w:pPr>
      <w:r>
        <w:rPr>
          <w:rFonts w:asciiTheme="majorHAnsi" w:eastAsiaTheme="minorEastAsia" w:hAnsiTheme="majorHAnsi"/>
          <w:sz w:val="20"/>
          <w:szCs w:val="20"/>
          <w:lang w:eastAsia="ja-JP"/>
        </w:rPr>
        <w:t xml:space="preserve">X% </w:t>
      </w:r>
      <w:r w:rsidR="0074523D" w:rsidRPr="00EE48A8">
        <w:rPr>
          <w:rFonts w:asciiTheme="majorHAnsi" w:eastAsiaTheme="minorEastAsia" w:hAnsiTheme="majorHAnsi"/>
          <w:sz w:val="20"/>
          <w:szCs w:val="20"/>
          <w:lang w:eastAsia="ja-JP"/>
        </w:rPr>
        <w:t xml:space="preserve"> of program participants get jobs and grow their income</w:t>
      </w:r>
    </w:p>
    <w:sectPr w:rsidR="006B5031" w:rsidRPr="00B64E10" w:rsidSect="0074523D"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99BA" w14:textId="77777777" w:rsidR="00373354" w:rsidRDefault="00373354" w:rsidP="0074523D">
      <w:r>
        <w:separator/>
      </w:r>
    </w:p>
  </w:endnote>
  <w:endnote w:type="continuationSeparator" w:id="0">
    <w:p w14:paraId="17D4A5A1" w14:textId="77777777" w:rsidR="00373354" w:rsidRDefault="00373354" w:rsidP="0074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2EF5" w14:textId="77777777" w:rsidR="00373354" w:rsidRDefault="00373354" w:rsidP="0074523D">
      <w:r>
        <w:separator/>
      </w:r>
    </w:p>
  </w:footnote>
  <w:footnote w:type="continuationSeparator" w:id="0">
    <w:p w14:paraId="2435F52A" w14:textId="77777777" w:rsidR="00373354" w:rsidRDefault="00373354" w:rsidP="0074523D">
      <w:r>
        <w:continuationSeparator/>
      </w:r>
    </w:p>
  </w:footnote>
  <w:footnote w:id="1">
    <w:p w14:paraId="07651461" w14:textId="02FC7E9C" w:rsidR="0074523D" w:rsidRPr="0074523D" w:rsidRDefault="0074523D" w:rsidP="0074523D">
      <w:pPr>
        <w:rPr>
          <w:rFonts w:ascii="Times New Roman" w:hAnsi="Times New Roman" w:cs="Times New Roman"/>
          <w:sz w:val="20"/>
          <w:szCs w:val="20"/>
        </w:rPr>
      </w:pPr>
      <w:r w:rsidRPr="0074523D">
        <w:rPr>
          <w:rStyle w:val="FootnoteReference"/>
          <w:sz w:val="20"/>
          <w:szCs w:val="20"/>
        </w:rPr>
        <w:footnoteRef/>
      </w:r>
      <w:r w:rsidRPr="0074523D">
        <w:rPr>
          <w:sz w:val="20"/>
          <w:szCs w:val="20"/>
        </w:rPr>
        <w:t xml:space="preserve"> In an effort to align local HEAP/CESH RFP process</w:t>
      </w:r>
      <w:r>
        <w:rPr>
          <w:sz w:val="20"/>
          <w:szCs w:val="20"/>
        </w:rPr>
        <w:t xml:space="preserve"> with County CORE Investments</w:t>
      </w:r>
      <w:r w:rsidRPr="0074523D">
        <w:rPr>
          <w:sz w:val="20"/>
          <w:szCs w:val="20"/>
        </w:rPr>
        <w:t xml:space="preserve">, we have included this list of Results derived from the County CORE Investment framework. </w:t>
      </w:r>
    </w:p>
    <w:p w14:paraId="152CE672" w14:textId="17DACFFD" w:rsidR="0074523D" w:rsidRDefault="0074523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A55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E9F5678"/>
    <w:multiLevelType w:val="hybridMultilevel"/>
    <w:tmpl w:val="228EF6F0"/>
    <w:lvl w:ilvl="0" w:tplc="96BC5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34229"/>
    <w:multiLevelType w:val="hybridMultilevel"/>
    <w:tmpl w:val="E0EE846E"/>
    <w:lvl w:ilvl="0" w:tplc="8328F8DA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3D"/>
    <w:rsid w:val="00023766"/>
    <w:rsid w:val="000D706A"/>
    <w:rsid w:val="0026620E"/>
    <w:rsid w:val="00373354"/>
    <w:rsid w:val="0046559A"/>
    <w:rsid w:val="004E2A3B"/>
    <w:rsid w:val="005F7D75"/>
    <w:rsid w:val="00681975"/>
    <w:rsid w:val="006B5031"/>
    <w:rsid w:val="007141B6"/>
    <w:rsid w:val="0074523D"/>
    <w:rsid w:val="00866434"/>
    <w:rsid w:val="00B11340"/>
    <w:rsid w:val="00B64E10"/>
    <w:rsid w:val="00E04EE2"/>
    <w:rsid w:val="00E715C9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A27B4"/>
  <w15:docId w15:val="{EF77885E-4DEF-4E05-B762-A705B96C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3D"/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2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23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ListBullet2">
    <w:name w:val="List Bullet 2"/>
    <w:basedOn w:val="Normal"/>
    <w:uiPriority w:val="99"/>
    <w:unhideWhenUsed/>
    <w:rsid w:val="0074523D"/>
    <w:pPr>
      <w:numPr>
        <w:numId w:val="1"/>
      </w:numPr>
      <w:contextualSpacing/>
    </w:pPr>
  </w:style>
  <w:style w:type="paragraph" w:customStyle="1" w:styleId="Normal1">
    <w:name w:val="Normal1"/>
    <w:rsid w:val="0074523D"/>
    <w:rPr>
      <w:rFonts w:eastAsia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2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23D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2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4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Madelle Bretana</cp:lastModifiedBy>
  <cp:revision>2</cp:revision>
  <dcterms:created xsi:type="dcterms:W3CDTF">2019-01-25T17:13:00Z</dcterms:created>
  <dcterms:modified xsi:type="dcterms:W3CDTF">2019-01-25T17:13:00Z</dcterms:modified>
</cp:coreProperties>
</file>