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binary" PartName="/gd/metadata"/>
  <Override ContentType="application/binary" PartName="/gd/snapshot"/>
  <Override ContentType="application/binary" PartName="/gd/signature"/>
  <Override ContentType="application/binary" PartName="/gd/debuginfo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7419975</wp:posOffset>
            </wp:positionH>
            <wp:positionV relativeFrom="paragraph">
              <wp:posOffset>114300</wp:posOffset>
            </wp:positionV>
            <wp:extent cx="1376670" cy="490538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6670" cy="4905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43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6270"/>
        <w:gridCol w:w="1665"/>
        <w:gridCol w:w="4575"/>
        <w:tblGridChange w:id="0">
          <w:tblGrid>
            <w:gridCol w:w="1860"/>
            <w:gridCol w:w="6270"/>
            <w:gridCol w:w="1665"/>
            <w:gridCol w:w="4575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gridSpan w:val="4"/>
            <w:shd w:fill="23405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Lines w:val="1"/>
              <w:widowControl w:val="0"/>
              <w:spacing w:after="0" w:line="240" w:lineRule="auto"/>
              <w:rPr>
                <w:rFonts w:ascii="Kadwa" w:cs="Kadwa" w:eastAsia="Kadwa" w:hAnsi="Kadw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Kadwa" w:cs="Kadwa" w:eastAsia="Kadwa" w:hAnsi="Kadwa"/>
                <w:b w:val="1"/>
                <w:color w:val="ffffff"/>
                <w:sz w:val="32"/>
                <w:szCs w:val="32"/>
                <w:rtl w:val="0"/>
              </w:rPr>
              <w:t xml:space="preserve">NOFO Timeline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.875" w:hRule="atLeast"/>
          <w:tblHeader w:val="0"/>
        </w:trPr>
        <w:tc>
          <w:tcPr>
            <w:shd w:fill="849cb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dwa" w:cs="Kadwa" w:eastAsia="Kadwa" w:hAnsi="Kadwa"/>
                <w:b w:val="1"/>
                <w:color w:val="ffffff"/>
              </w:rPr>
            </w:pPr>
            <w:r w:rsidDel="00000000" w:rsidR="00000000" w:rsidRPr="00000000">
              <w:rPr>
                <w:rFonts w:ascii="Kadwa" w:cs="Kadwa" w:eastAsia="Kadwa" w:hAnsi="Kadwa"/>
                <w:b w:val="1"/>
                <w:color w:val="ffffff"/>
                <w:rtl w:val="0"/>
              </w:rPr>
              <w:t xml:space="preserve">Typical Date</w:t>
            </w:r>
          </w:p>
        </w:tc>
        <w:tc>
          <w:tcPr>
            <w:shd w:fill="849cb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dwa" w:cs="Kadwa" w:eastAsia="Kadwa" w:hAnsi="Kadwa"/>
                <w:b w:val="1"/>
                <w:color w:val="ffffff"/>
              </w:rPr>
            </w:pPr>
            <w:r w:rsidDel="00000000" w:rsidR="00000000" w:rsidRPr="00000000">
              <w:rPr>
                <w:rFonts w:ascii="Kadwa" w:cs="Kadwa" w:eastAsia="Kadwa" w:hAnsi="Kadwa"/>
                <w:b w:val="1"/>
                <w:color w:val="ffffff"/>
                <w:rtl w:val="0"/>
              </w:rPr>
              <w:t xml:space="preserve">Action</w:t>
            </w:r>
          </w:p>
        </w:tc>
        <w:tc>
          <w:tcPr>
            <w:shd w:fill="849cb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dwa" w:cs="Kadwa" w:eastAsia="Kadwa" w:hAnsi="Kadwa"/>
                <w:b w:val="1"/>
                <w:color w:val="ffffff"/>
              </w:rPr>
            </w:pPr>
            <w:r w:rsidDel="00000000" w:rsidR="00000000" w:rsidRPr="00000000">
              <w:rPr>
                <w:rFonts w:ascii="Kadwa" w:cs="Kadwa" w:eastAsia="Kadwa" w:hAnsi="Kadwa"/>
                <w:b w:val="1"/>
                <w:color w:val="ffffff"/>
                <w:rtl w:val="0"/>
              </w:rPr>
              <w:t xml:space="preserve">Requirement</w:t>
            </w:r>
          </w:p>
        </w:tc>
        <w:tc>
          <w:tcPr>
            <w:shd w:fill="849cb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dwa" w:cs="Kadwa" w:eastAsia="Kadwa" w:hAnsi="Kadwa"/>
                <w:b w:val="1"/>
                <w:color w:val="ffffff"/>
              </w:rPr>
            </w:pPr>
            <w:r w:rsidDel="00000000" w:rsidR="00000000" w:rsidRPr="00000000">
              <w:rPr>
                <w:rFonts w:ascii="Kadwa" w:cs="Kadwa" w:eastAsia="Kadwa" w:hAnsi="Kadwa"/>
                <w:b w:val="1"/>
                <w:color w:val="ffffff"/>
                <w:rtl w:val="0"/>
              </w:rPr>
              <w:t xml:space="preserve">Notes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3071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dwa" w:cs="Kadwa" w:eastAsia="Kadwa" w:hAnsi="Kadwa"/>
                <w:b w:val="1"/>
                <w:color w:val="ffffff"/>
              </w:rPr>
            </w:pPr>
            <w:r w:rsidDel="00000000" w:rsidR="00000000" w:rsidRPr="00000000">
              <w:rPr>
                <w:rFonts w:ascii="Kadwa" w:cs="Kadwa" w:eastAsia="Kadwa" w:hAnsi="Kadwa"/>
                <w:b w:val="1"/>
                <w:color w:val="ffffff"/>
                <w:rtl w:val="0"/>
              </w:rPr>
              <w:t xml:space="preserve">CoC Registration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Second Tuesday in January at 1 PM 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CoC Registration Opens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- CoC Applicants required to apply using Program Registration Guidelines provided by HUD.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Required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2023 Date: January 10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Late January - March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Registration Webinar -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HUD may host a webinar outlining CoC Registration  instructions.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Suggested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2023 Date: N/A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2022 Date: March 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First Thursday of March at 5 PM 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CoC Registration Closes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- CoC Applicant notifies HUD intent to apply for funds. If CoC does not complete registration HUD will move the previous year’s registration forward with no changes.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Required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2023 Date: March 2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2022 Date: April 7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3071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dwa" w:cs="Kadwa" w:eastAsia="Kadwa" w:hAnsi="Kadwa"/>
                <w:b w:val="1"/>
                <w:color w:val="ffffff"/>
              </w:rPr>
            </w:pPr>
            <w:r w:rsidDel="00000000" w:rsidR="00000000" w:rsidRPr="00000000">
              <w:rPr>
                <w:rFonts w:ascii="Kadwa" w:cs="Kadwa" w:eastAsia="Kadwa" w:hAnsi="Kadwa"/>
                <w:b w:val="1"/>
                <w:color w:val="ffffff"/>
                <w:rtl w:val="0"/>
              </w:rPr>
              <w:t xml:space="preserve">NOFO Project Application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July/August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NOFO Released/Posted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- The NOFO document is posted to Grants.gov. Competition officially opens. </w:t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2023 Date: July 5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2022 Date: August 1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2021 Date: August 18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Early August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Form Rank and Review Committee -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The CoC Applicant can form a committee that will rank and review project applications. Though suggested, this will contribute towards higher scoring in the NOFO application.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Suggested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HUD will award up to 27 points to CoCs that demonstrate the existence of a single coordinated, inclusive, and outcome-oriented community process for the solicitation, objective review, ranking, and selection of project applications. See NOFO, Project Capacity, Review and Ranking, 2a &amp; 2g.</w:t>
            </w:r>
          </w:p>
        </w:tc>
      </w:tr>
      <w:tr>
        <w:trPr>
          <w:cantSplit w:val="0"/>
          <w:trHeight w:val="788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Early August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Bidders Conference/ Gather Applicant Interest/ RFP -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CoC Applicant can hold a conference, solicit project applicants, or publish a Request for Proposals (RFP) to increase knowledge of the CoC Project Application to the community.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Suggested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See NOFO, Project Capacity, Review and Ranking, 2a &amp; 2g.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Mid August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Post Application for Local Applicants -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CoCs can post the criteria and application requirements online to encourage Project Applicants to apply.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Suggested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See NOFO, Project Capacity, Review and Ranking, 2a &amp; 2g.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Mid August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E-Snaps Opens for Submission -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HUD’s online application website, E-SNAPS, opens for CoC applicants to submit their CoC Applications. </w:t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2023 Date: July 31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2022 Date: August 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Mid/Late August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NOFO Webinar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- CoC applicants can attend the HUD Webinar reviewing current year NOFO changes, requirements and scoring.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Suggested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2023 Date: August 25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2022 Date: August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Late August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Project Application Due -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All community project applications must be submitted to the CoC no later than 30 days before HUD’s CoC Program application submission deadline.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Required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Must be submitted 30 Days prior to Submission Deadline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3071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dwa" w:cs="Kadwa" w:eastAsia="Kadwa" w:hAnsi="Kadwa"/>
                <w:b w:val="1"/>
                <w:color w:val="ffffff"/>
              </w:rPr>
            </w:pPr>
            <w:r w:rsidDel="00000000" w:rsidR="00000000" w:rsidRPr="00000000">
              <w:rPr>
                <w:rFonts w:ascii="Kadwa" w:cs="Kadwa" w:eastAsia="Kadwa" w:hAnsi="Kadwa"/>
                <w:b w:val="1"/>
                <w:color w:val="ffffff"/>
                <w:rtl w:val="0"/>
              </w:rPr>
              <w:t xml:space="preserve">CoC Project Ranking &amp; Submission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Late August - Mid 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CoC Project Review and Ranking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- Project applications must be reviewed and ranked, approved and rejected by the CoC. They must be listed on the CoC Priority listing in rank order; higher ranked will be assigned to Tier 1 and lower ranked will be assigned to Tier 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Required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Mid 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Notify Project Applicants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-  CoC Deadline to Notify all project applicants whether project application will be accepted and ranked on the CoC Priority listing, rejected or reduced by the CoC.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Required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Must be notified 15 Days prior to Submission Deadline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Mid 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Application Decision Appeals -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Community applicants can dispute their ranking.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Suggested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 Days Prior to Submission Deadline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Post Consolidated Application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- CoC must post on their website all parts of the CoC Consolidated application and notify community members that the Consolidated application is available to view.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Required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Must post 2 Days prior to Submission Deadline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Late 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NOFO Submission Due -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The CoC Consolidated application must be uploaded and submitted to E-Snaps.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Required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2023 Date: September 28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2022 Date: September 30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2021 Date: November 16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3071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dwa" w:cs="Kadwa" w:eastAsia="Kadwa" w:hAnsi="Kadwa"/>
                <w:b w:val="1"/>
                <w:color w:val="ffffff"/>
              </w:rPr>
            </w:pPr>
            <w:r w:rsidDel="00000000" w:rsidR="00000000" w:rsidRPr="00000000">
              <w:rPr>
                <w:rFonts w:ascii="Kadwa" w:cs="Kadwa" w:eastAsia="Kadwa" w:hAnsi="Kadwa"/>
                <w:b w:val="1"/>
                <w:color w:val="ffffff"/>
                <w:rtl w:val="0"/>
              </w:rPr>
              <w:t xml:space="preserve">HUD Review &amp; Scoring Announcement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Early October through Early January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HUD Review Period -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HUD will review project applications to determine CoC Award amounts for the CoC Applicants. </w:t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Mid January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HUD Announces Awards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- HUD will announce the Tier 1 Awards Report  to the CoC Applicant. </w:t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2023 (Prior Year) Date:  January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Late March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HUD Announces Awards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- HUD will announce the Tier 2 Award Report  to the CoC Applicant. </w:t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2023 Date (Prior Year): March 27</w:t>
            </w:r>
          </w:p>
        </w:tc>
      </w:tr>
    </w:tbl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Kadwa"/>
  <w:font w:name="La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