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A21C5" w14:textId="04E46F94" w:rsidR="006F3494" w:rsidRDefault="006416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T Sans Narrow" w:eastAsia="PT Sans Narrow" w:hAnsi="PT Sans Narrow" w:cs="PT Sans Narrow"/>
          <w:b/>
          <w:color w:val="000000"/>
          <w:sz w:val="84"/>
          <w:szCs w:val="84"/>
        </w:rPr>
      </w:pPr>
      <w:r>
        <w:rPr>
          <w:rFonts w:ascii="Kadwa" w:eastAsia="Kadwa" w:hAnsi="Kadwa" w:cs="Kadwa"/>
          <w:b/>
          <w:color w:val="23405E"/>
          <w:sz w:val="40"/>
          <w:szCs w:val="40"/>
        </w:rPr>
        <w:t>Provider Job Aid</w:t>
      </w:r>
      <w:r w:rsidR="00000000">
        <w:rPr>
          <w:rFonts w:ascii="Kadwa" w:eastAsia="Kadwa" w:hAnsi="Kadwa" w:cs="Kadwa"/>
          <w:b/>
          <w:color w:val="23405E"/>
          <w:sz w:val="40"/>
          <w:szCs w:val="40"/>
        </w:rPr>
        <w:t xml:space="preserve"> </w:t>
      </w:r>
      <w:r>
        <w:rPr>
          <w:rFonts w:ascii="Kadwa" w:eastAsia="Kadwa" w:hAnsi="Kadwa" w:cs="Kadwa"/>
          <w:b/>
          <w:color w:val="23405E"/>
          <w:sz w:val="40"/>
          <w:szCs w:val="40"/>
        </w:rPr>
        <w:t>(Non-CE Workflow)</w:t>
      </w:r>
      <w:r w:rsidR="00000000">
        <w:rPr>
          <w:rFonts w:ascii="PT Sans Narrow" w:eastAsia="PT Sans Narrow" w:hAnsi="PT Sans Narrow" w:cs="PT Sans Narrow"/>
          <w:b/>
          <w:color w:val="000000"/>
          <w:sz w:val="40"/>
          <w:szCs w:val="40"/>
        </w:rPr>
        <w:t xml:space="preserve"> </w:t>
      </w:r>
      <w:r w:rsidR="00000000">
        <w:rPr>
          <w:rFonts w:ascii="PT Sans Narrow" w:eastAsia="PT Sans Narrow" w:hAnsi="PT Sans Narrow" w:cs="PT Sans Narrow"/>
          <w:b/>
          <w:color w:val="000000"/>
          <w:sz w:val="84"/>
          <w:szCs w:val="84"/>
        </w:rPr>
        <w:t xml:space="preserve"> </w:t>
      </w:r>
      <w:r w:rsidR="00000000">
        <w:rPr>
          <w:rFonts w:ascii="PT Sans Narrow" w:eastAsia="PT Sans Narrow" w:hAnsi="PT Sans Narrow" w:cs="PT Sans Narrow"/>
          <w:b/>
          <w:noProof/>
          <w:color w:val="666666"/>
          <w:sz w:val="84"/>
          <w:szCs w:val="84"/>
        </w:rPr>
        <w:drawing>
          <wp:inline distT="0" distB="0" distL="0" distR="0" wp14:anchorId="01DA21EB" wp14:editId="01DA21EC">
            <wp:extent cx="431905" cy="538154"/>
            <wp:effectExtent l="0" t="0" r="0" b="0"/>
            <wp:docPr id="209019976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05" cy="538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2"/>
        <w:tblW w:w="14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5"/>
        <w:gridCol w:w="4700"/>
        <w:gridCol w:w="4937"/>
      </w:tblGrid>
      <w:tr w:rsidR="006F3494" w14:paraId="01DA21C9" w14:textId="77777777">
        <w:trPr>
          <w:trHeight w:val="440"/>
        </w:trPr>
        <w:tc>
          <w:tcPr>
            <w:tcW w:w="5205" w:type="dxa"/>
            <w:shd w:val="clear" w:color="auto" w:fill="23405E"/>
            <w:vAlign w:val="center"/>
          </w:tcPr>
          <w:p w14:paraId="01DA21C6" w14:textId="77777777" w:rsidR="006F34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dwa" w:eastAsia="Kadwa" w:hAnsi="Kadwa" w:cs="Kadwa"/>
                <w:b/>
                <w:color w:val="FFFFFF"/>
              </w:rPr>
            </w:pPr>
            <w:r>
              <w:rPr>
                <w:rFonts w:ascii="Kadwa" w:eastAsia="Kadwa" w:hAnsi="Kadwa" w:cs="Kadwa"/>
                <w:b/>
                <w:color w:val="FFFFFF"/>
                <w:sz w:val="28"/>
                <w:szCs w:val="28"/>
              </w:rPr>
              <w:t>Complete Program Enrollment</w:t>
            </w:r>
          </w:p>
        </w:tc>
        <w:tc>
          <w:tcPr>
            <w:tcW w:w="4700" w:type="dxa"/>
            <w:shd w:val="clear" w:color="auto" w:fill="23405E"/>
            <w:vAlign w:val="center"/>
          </w:tcPr>
          <w:p w14:paraId="01DA21C7" w14:textId="77777777" w:rsidR="006F34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dwa" w:eastAsia="Kadwa" w:hAnsi="Kadwa" w:cs="Kadwa"/>
                <w:b/>
                <w:color w:val="FFFFFF"/>
              </w:rPr>
            </w:pPr>
            <w:r>
              <w:rPr>
                <w:rFonts w:ascii="Kadwa" w:eastAsia="Kadwa" w:hAnsi="Kadwa" w:cs="Kadwa"/>
                <w:b/>
                <w:color w:val="FFFFFF"/>
                <w:sz w:val="28"/>
                <w:szCs w:val="28"/>
              </w:rPr>
              <w:t>Unit Assignment</w:t>
            </w:r>
          </w:p>
        </w:tc>
        <w:tc>
          <w:tcPr>
            <w:tcW w:w="4937" w:type="dxa"/>
            <w:shd w:val="clear" w:color="auto" w:fill="23405E"/>
            <w:vAlign w:val="center"/>
          </w:tcPr>
          <w:p w14:paraId="01DA21C8" w14:textId="77777777" w:rsidR="006F34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adwa" w:eastAsia="Kadwa" w:hAnsi="Kadwa" w:cs="Kadwa"/>
                <w:b/>
                <w:color w:val="FFFFFF"/>
              </w:rPr>
            </w:pPr>
            <w:r>
              <w:rPr>
                <w:rFonts w:ascii="Kadwa" w:eastAsia="Kadwa" w:hAnsi="Kadwa" w:cs="Kadwa"/>
                <w:b/>
                <w:color w:val="FFFFFF"/>
                <w:sz w:val="28"/>
                <w:szCs w:val="28"/>
              </w:rPr>
              <w:t>Unit Transfers</w:t>
            </w:r>
          </w:p>
        </w:tc>
      </w:tr>
      <w:tr w:rsidR="006F3494" w14:paraId="01DA21E9" w14:textId="77777777">
        <w:trPr>
          <w:trHeight w:val="8202"/>
        </w:trPr>
        <w:tc>
          <w:tcPr>
            <w:tcW w:w="5205" w:type="dxa"/>
          </w:tcPr>
          <w:p w14:paraId="01DA21CA" w14:textId="77777777" w:rsidR="006F349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Click on the </w:t>
            </w:r>
            <w:r>
              <w:rPr>
                <w:rFonts w:ascii="Lato" w:eastAsia="Lato" w:hAnsi="Lato" w:cs="Lato"/>
                <w:i/>
                <w:color w:val="000000"/>
              </w:rPr>
              <w:t>Programs Tab</w:t>
            </w:r>
            <w:r>
              <w:rPr>
                <w:rFonts w:ascii="Lato" w:eastAsia="Lato" w:hAnsi="Lato" w:cs="Lato"/>
                <w:color w:val="000000"/>
              </w:rPr>
              <w:t xml:space="preserve">. Scroll down to the </w:t>
            </w:r>
            <w:r>
              <w:rPr>
                <w:rFonts w:ascii="Lato" w:eastAsia="Lato" w:hAnsi="Lato" w:cs="Lato"/>
                <w:i/>
                <w:color w:val="000000"/>
              </w:rPr>
              <w:t>Programs: Available s</w:t>
            </w:r>
            <w:r>
              <w:rPr>
                <w:rFonts w:ascii="Lato" w:eastAsia="Lato" w:hAnsi="Lato" w:cs="Lato"/>
                <w:color w:val="000000"/>
              </w:rPr>
              <w:t>ection.</w:t>
            </w:r>
          </w:p>
          <w:p w14:paraId="01DA21CB" w14:textId="77777777" w:rsidR="006F3494" w:rsidRDefault="006F3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Lato" w:eastAsia="Lato" w:hAnsi="Lato" w:cs="Lato"/>
                <w:color w:val="000000"/>
              </w:rPr>
            </w:pPr>
          </w:p>
          <w:p w14:paraId="01DA21CC" w14:textId="77777777" w:rsidR="006F349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Select the program and click </w:t>
            </w:r>
            <w:r>
              <w:rPr>
                <w:rFonts w:ascii="Lato" w:eastAsia="Lato" w:hAnsi="Lato" w:cs="Lato"/>
                <w:i/>
                <w:color w:val="000000"/>
              </w:rPr>
              <w:t xml:space="preserve">Enroll. </w:t>
            </w:r>
          </w:p>
          <w:p w14:paraId="01DA21CD" w14:textId="77777777" w:rsidR="006F3494" w:rsidRDefault="006F3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Lato" w:eastAsia="Lato" w:hAnsi="Lato" w:cs="Lato"/>
                <w:color w:val="000000"/>
              </w:rPr>
            </w:pPr>
          </w:p>
          <w:p w14:paraId="01DA21CE" w14:textId="77777777" w:rsidR="006F3494" w:rsidRDefault="006F3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Lato" w:eastAsia="Lato" w:hAnsi="Lato" w:cs="Lato"/>
                <w:color w:val="000000"/>
              </w:rPr>
            </w:pPr>
          </w:p>
          <w:p w14:paraId="01DA21CF" w14:textId="77777777" w:rsidR="006F349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Complete the program enrollment screen.</w:t>
            </w:r>
          </w:p>
          <w:p w14:paraId="01DA21D0" w14:textId="77777777" w:rsidR="006F3494" w:rsidRDefault="006F3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Inter" w:eastAsia="Inter" w:hAnsi="Inter" w:cs="Inter"/>
                <w:color w:val="000000"/>
              </w:rPr>
            </w:pPr>
          </w:p>
          <w:p w14:paraId="01DA21D1" w14:textId="77777777" w:rsidR="006F34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01DA21ED" wp14:editId="01DA21EE">
                  <wp:extent cx="2914650" cy="1896278"/>
                  <wp:effectExtent l="12700" t="12700" r="12700" b="12700"/>
                  <wp:docPr id="209019976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89627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A21D2" w14:textId="77777777" w:rsidR="006F34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*Please note: Enable the </w:t>
            </w:r>
            <w:r>
              <w:rPr>
                <w:rFonts w:ascii="Lato" w:eastAsia="Lato" w:hAnsi="Lato" w:cs="Lato"/>
                <w:i/>
                <w:color w:val="000000"/>
              </w:rPr>
              <w:t xml:space="preserve">Include Group Members </w:t>
            </w:r>
            <w:r>
              <w:rPr>
                <w:rFonts w:ascii="Lato" w:eastAsia="Lato" w:hAnsi="Lato" w:cs="Lato"/>
                <w:color w:val="000000"/>
              </w:rPr>
              <w:t>toggle to include family members in the enrollment.</w:t>
            </w:r>
          </w:p>
          <w:p w14:paraId="01DA21D3" w14:textId="77777777" w:rsidR="006F3494" w:rsidRDefault="006F3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700" w:type="dxa"/>
          </w:tcPr>
          <w:p w14:paraId="01DA21D4" w14:textId="77777777" w:rsidR="006F349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When under the </w:t>
            </w:r>
            <w:r>
              <w:rPr>
                <w:rFonts w:ascii="Lato" w:eastAsia="Lato" w:hAnsi="Lato" w:cs="Lato"/>
                <w:i/>
                <w:color w:val="000000"/>
              </w:rPr>
              <w:t>Units/Beds Tab</w:t>
            </w:r>
            <w:r>
              <w:rPr>
                <w:rFonts w:ascii="Lato" w:eastAsia="Lato" w:hAnsi="Lato" w:cs="Lato"/>
                <w:color w:val="000000"/>
              </w:rPr>
              <w:t xml:space="preserve">, click </w:t>
            </w:r>
            <w:r>
              <w:rPr>
                <w:rFonts w:ascii="Lato" w:eastAsia="Lato" w:hAnsi="Lato" w:cs="Lato"/>
                <w:i/>
                <w:color w:val="000000"/>
              </w:rPr>
              <w:t>Add Unit</w:t>
            </w:r>
            <w:r>
              <w:rPr>
                <w:rFonts w:ascii="Lato" w:eastAsia="Lato" w:hAnsi="Lato" w:cs="Lato"/>
                <w:color w:val="000000"/>
              </w:rPr>
              <w:t xml:space="preserve"> </w:t>
            </w:r>
          </w:p>
          <w:p w14:paraId="01DA21D5" w14:textId="77777777" w:rsidR="006F34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noProof/>
              </w:rPr>
              <w:drawing>
                <wp:inline distT="114300" distB="114300" distL="114300" distR="114300" wp14:anchorId="01DA21EF" wp14:editId="01DA21F0">
                  <wp:extent cx="907030" cy="323939"/>
                  <wp:effectExtent l="0" t="0" r="0" b="0"/>
                  <wp:docPr id="209019976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30" cy="3239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DA21D6" w14:textId="77777777" w:rsidR="006F349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Enter </w:t>
            </w:r>
            <w:r>
              <w:rPr>
                <w:rFonts w:ascii="Lato" w:eastAsia="Lato" w:hAnsi="Lato" w:cs="Lato"/>
                <w:i/>
                <w:color w:val="000000"/>
              </w:rPr>
              <w:t>Start Date</w:t>
            </w:r>
            <w:r>
              <w:rPr>
                <w:rFonts w:ascii="Lato" w:eastAsia="Lato" w:hAnsi="Lato" w:cs="Lato"/>
                <w:color w:val="000000"/>
              </w:rPr>
              <w:t>.</w:t>
            </w:r>
          </w:p>
          <w:p w14:paraId="01DA21D7" w14:textId="77777777" w:rsidR="006F3494" w:rsidRDefault="006F3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Lato" w:eastAsia="Lato" w:hAnsi="Lato" w:cs="Lato"/>
                <w:color w:val="000000"/>
              </w:rPr>
            </w:pPr>
          </w:p>
          <w:p w14:paraId="01DA21D8" w14:textId="77777777" w:rsidR="006F349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Click on </w:t>
            </w:r>
            <w:r>
              <w:rPr>
                <w:rFonts w:ascii="Lato" w:eastAsia="Lato" w:hAnsi="Lato" w:cs="Lato"/>
                <w:i/>
                <w:color w:val="000000"/>
              </w:rPr>
              <w:t>Available Units</w:t>
            </w:r>
            <w:r>
              <w:rPr>
                <w:rFonts w:ascii="Lato" w:eastAsia="Lato" w:hAnsi="Lato" w:cs="Lato"/>
                <w:color w:val="000000"/>
              </w:rPr>
              <w:t>.</w:t>
            </w:r>
          </w:p>
          <w:p w14:paraId="01DA21D9" w14:textId="77777777" w:rsidR="006F3494" w:rsidRDefault="006F3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</w:p>
          <w:p w14:paraId="01DA21DA" w14:textId="77777777" w:rsidR="006F349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Select the applicable unit.</w:t>
            </w:r>
          </w:p>
          <w:p w14:paraId="01DA21DB" w14:textId="77777777" w:rsidR="006F34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noProof/>
              </w:rPr>
              <w:drawing>
                <wp:inline distT="114300" distB="114300" distL="114300" distR="114300" wp14:anchorId="01DA21F1" wp14:editId="01DA21F2">
                  <wp:extent cx="2252663" cy="2055662"/>
                  <wp:effectExtent l="0" t="0" r="0" b="0"/>
                  <wp:docPr id="209019976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63" cy="2055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DA21DC" w14:textId="77777777" w:rsidR="006F3494" w:rsidRDefault="006F3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</w:p>
          <w:p w14:paraId="01DA21DD" w14:textId="77777777" w:rsidR="006F349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Click Save and Close.</w:t>
            </w:r>
          </w:p>
          <w:p w14:paraId="01DA21DE" w14:textId="77777777" w:rsidR="006F3494" w:rsidRDefault="006F3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Lato" w:eastAsia="Lato" w:hAnsi="Lato" w:cs="Lato"/>
                <w:color w:val="000000"/>
              </w:rPr>
            </w:pPr>
          </w:p>
          <w:p w14:paraId="01DA21DF" w14:textId="77777777" w:rsidR="006F3494" w:rsidRDefault="006F3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nter" w:eastAsia="Inter" w:hAnsi="Inter" w:cs="Inter"/>
                <w:color w:val="000000"/>
              </w:rPr>
            </w:pPr>
          </w:p>
        </w:tc>
        <w:tc>
          <w:tcPr>
            <w:tcW w:w="4937" w:type="dxa"/>
          </w:tcPr>
          <w:p w14:paraId="01DA21E0" w14:textId="77777777" w:rsidR="006F34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Clients may need to move to another unit due to reasonable accommodations, unit repairs, etc. Follow these steps to transfer a client to another unit.</w:t>
            </w:r>
          </w:p>
          <w:p w14:paraId="01DA21E1" w14:textId="77777777" w:rsidR="006F349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Go to the </w:t>
            </w:r>
            <w:r>
              <w:rPr>
                <w:rFonts w:ascii="Lato" w:eastAsia="Lato" w:hAnsi="Lato" w:cs="Lato"/>
                <w:i/>
                <w:color w:val="000000"/>
              </w:rPr>
              <w:t>Units/Beds Tab</w:t>
            </w:r>
            <w:r>
              <w:rPr>
                <w:rFonts w:ascii="Lato" w:eastAsia="Lato" w:hAnsi="Lato" w:cs="Lato"/>
                <w:color w:val="000000"/>
              </w:rPr>
              <w:t xml:space="preserve">. </w:t>
            </w:r>
          </w:p>
          <w:p w14:paraId="01DA21E2" w14:textId="77777777" w:rsidR="006F349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Click edit next to the current unit/bed. </w:t>
            </w:r>
          </w:p>
          <w:p w14:paraId="01DA21E3" w14:textId="77777777" w:rsidR="006F34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noProof/>
                <w:color w:val="000000"/>
              </w:rPr>
              <w:drawing>
                <wp:inline distT="0" distB="0" distL="114300" distR="114300" wp14:anchorId="01DA21F3" wp14:editId="01DA21F4">
                  <wp:extent cx="1971312" cy="822426"/>
                  <wp:effectExtent l="9525" t="9525" r="9525" b="9525"/>
                  <wp:docPr id="209019977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312" cy="82242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206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A21E4" w14:textId="77777777" w:rsidR="006F349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Add an </w:t>
            </w:r>
            <w:r>
              <w:rPr>
                <w:rFonts w:ascii="Lato" w:eastAsia="Lato" w:hAnsi="Lato" w:cs="Lato"/>
                <w:i/>
                <w:color w:val="000000"/>
              </w:rPr>
              <w:t>End Date</w:t>
            </w:r>
            <w:r>
              <w:rPr>
                <w:rFonts w:ascii="Lato" w:eastAsia="Lato" w:hAnsi="Lato" w:cs="Lato"/>
                <w:color w:val="000000"/>
              </w:rPr>
              <w:t xml:space="preserve"> to the </w:t>
            </w:r>
            <w:r>
              <w:rPr>
                <w:rFonts w:ascii="Lato" w:eastAsia="Lato" w:hAnsi="Lato" w:cs="Lato"/>
              </w:rPr>
              <w:t>c</w:t>
            </w:r>
            <w:r>
              <w:rPr>
                <w:rFonts w:ascii="Lato" w:eastAsia="Lato" w:hAnsi="Lato" w:cs="Lato"/>
                <w:color w:val="000000"/>
              </w:rPr>
              <w:t xml:space="preserve">urrent </w:t>
            </w:r>
            <w:r>
              <w:rPr>
                <w:rFonts w:ascii="Lato" w:eastAsia="Lato" w:hAnsi="Lato" w:cs="Lato"/>
              </w:rPr>
              <w:t>u</w:t>
            </w:r>
            <w:r>
              <w:rPr>
                <w:rFonts w:ascii="Lato" w:eastAsia="Lato" w:hAnsi="Lato" w:cs="Lato"/>
                <w:color w:val="000000"/>
              </w:rPr>
              <w:t>nit.</w:t>
            </w:r>
          </w:p>
          <w:p w14:paraId="01DA21E5" w14:textId="77777777" w:rsidR="006F3494" w:rsidRDefault="006F3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eastAsia="Lato" w:hAnsi="Lato" w:cs="Lato"/>
                <w:color w:val="000000"/>
              </w:rPr>
            </w:pPr>
          </w:p>
          <w:p w14:paraId="01DA21E6" w14:textId="77777777" w:rsidR="006F349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 xml:space="preserve">Click </w:t>
            </w:r>
            <w:r>
              <w:rPr>
                <w:rFonts w:ascii="Lato" w:eastAsia="Lato" w:hAnsi="Lato" w:cs="Lato"/>
                <w:i/>
                <w:color w:val="000000"/>
              </w:rPr>
              <w:t>Add Unit</w:t>
            </w:r>
            <w:r>
              <w:rPr>
                <w:rFonts w:ascii="Lato" w:eastAsia="Lato" w:hAnsi="Lato" w:cs="Lato"/>
                <w:color w:val="000000"/>
              </w:rPr>
              <w:t xml:space="preserve"> and assign the client to a new unit</w:t>
            </w:r>
            <w:r>
              <w:rPr>
                <w:rFonts w:ascii="Inter" w:eastAsia="Inter" w:hAnsi="Inter" w:cs="Inter"/>
                <w:color w:val="000000"/>
              </w:rPr>
              <w:t>.</w:t>
            </w:r>
          </w:p>
          <w:p w14:paraId="01DA21E7" w14:textId="77777777" w:rsidR="006F3494" w:rsidRDefault="006F34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nter" w:eastAsia="Inter" w:hAnsi="Inter" w:cs="Inter"/>
                <w:color w:val="000000"/>
              </w:rPr>
            </w:pPr>
          </w:p>
          <w:p w14:paraId="01DA21E8" w14:textId="77777777" w:rsidR="006F34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01DA21F5" wp14:editId="01DA21F6">
                  <wp:extent cx="2015074" cy="1837273"/>
                  <wp:effectExtent l="0" t="0" r="0" b="0"/>
                  <wp:docPr id="209019976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074" cy="18372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A21EA" w14:textId="77777777" w:rsidR="006F3494" w:rsidRDefault="006F349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6F3494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/>
      <w:pgMar w:top="720" w:right="270" w:bottom="720" w:left="36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48CB6" w14:textId="77777777" w:rsidR="00CE58B1" w:rsidRDefault="00CE58B1">
      <w:r>
        <w:separator/>
      </w:r>
    </w:p>
  </w:endnote>
  <w:endnote w:type="continuationSeparator" w:id="0">
    <w:p w14:paraId="31603949" w14:textId="77777777" w:rsidR="00CE58B1" w:rsidRDefault="00CE5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A694F9D-E75F-3A40-99E0-34BF127C78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1238824-11E3-C34D-AC12-C1CACE97823D}"/>
    <w:embedBold r:id="rId3" w:fontKey="{CBD00049-1ED6-5C44-B6FF-DB35C43EE50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9CF76CD-3B91-6B4E-8718-8D070E4393C2}"/>
  </w:font>
  <w:font w:name="Noto Sans Symbols">
    <w:panose1 w:val="020B0604020202020204"/>
    <w:charset w:val="00"/>
    <w:family w:val="auto"/>
    <w:pitch w:val="default"/>
    <w:embedRegular r:id="rId5" w:fontKey="{EF387900-590F-E44C-8ED0-58D45BA80C98}"/>
  </w:font>
  <w:font w:name="PT Sans Narrow">
    <w:panose1 w:val="020B0506020203020204"/>
    <w:charset w:val="4D"/>
    <w:family w:val="swiss"/>
    <w:pitch w:val="variable"/>
    <w:sig w:usb0="A00002EF" w:usb1="5000204B" w:usb2="00000000" w:usb3="00000000" w:csb0="000000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80A4EDA7-0E3A-0847-9BED-0BB385798E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AB5FD089-9D38-6544-BF6E-2AED2ED4BA4E}"/>
    <w:embedItalic r:id="rId10" w:fontKey="{5F5CD417-5AFA-9542-9F3F-1E9B7BD1B5FD}"/>
  </w:font>
  <w:font w:name="Kadwa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1" w:fontKey="{642C8584-735D-CF40-A6A3-43BB2873EF19}"/>
    <w:embedBold r:id="rId12" w:fontKey="{30987726-460C-884C-A68F-8AEEFCBCB174}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  <w:embedRegular r:id="rId13" w:fontKey="{3AADD2B9-D844-2C45-B064-FD5D43A7343C}"/>
    <w:embedItalic r:id="rId14" w:fontKey="{026BD68F-CAB8-4A44-B579-3D007F109FBA}"/>
  </w:font>
  <w:font w:name="Inter">
    <w:altName w:val="Calibri"/>
    <w:panose1 w:val="020B0503020203020204"/>
    <w:charset w:val="00"/>
    <w:family w:val="auto"/>
    <w:pitch w:val="default"/>
    <w:embedRegular r:id="rId15" w:fontKey="{0C4800C6-D0EF-624C-90A3-503012B8D2E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8337DE9F-C451-774E-BB1D-5D3056FA61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A21F8" w14:textId="77777777" w:rsidR="006F34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1DA21F9" w14:textId="77777777" w:rsidR="006F3494" w:rsidRDefault="006F34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A21FA" w14:textId="77777777" w:rsidR="006F34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A21FC" w14:textId="77777777" w:rsidR="006F3494" w:rsidRDefault="006F349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88A2D" w14:textId="77777777" w:rsidR="00CE58B1" w:rsidRDefault="00CE58B1">
      <w:r>
        <w:separator/>
      </w:r>
    </w:p>
  </w:footnote>
  <w:footnote w:type="continuationSeparator" w:id="0">
    <w:p w14:paraId="415EB646" w14:textId="77777777" w:rsidR="00CE58B1" w:rsidRDefault="00CE5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A21F7" w14:textId="77777777" w:rsidR="006F3494" w:rsidRDefault="006F3494">
    <w:pPr>
      <w:pBdr>
        <w:top w:val="nil"/>
        <w:left w:val="nil"/>
        <w:bottom w:val="nil"/>
        <w:right w:val="nil"/>
        <w:between w:val="nil"/>
      </w:pBdr>
      <w:spacing w:before="40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A21FB" w14:textId="77777777" w:rsidR="006F3494" w:rsidRDefault="00000000">
    <w:pPr>
      <w:pBdr>
        <w:top w:val="nil"/>
        <w:left w:val="nil"/>
        <w:bottom w:val="nil"/>
        <w:right w:val="nil"/>
        <w:between w:val="nil"/>
      </w:pBdr>
      <w:spacing w:before="400"/>
      <w:ind w:left="-540"/>
      <w:jc w:val="center"/>
      <w:rPr>
        <w:rFonts w:ascii="PT Sans Narrow" w:eastAsia="PT Sans Narrow" w:hAnsi="PT Sans Narrow" w:cs="PT Sans Narrow"/>
        <w:color w:val="000000"/>
        <w:sz w:val="28"/>
        <w:szCs w:val="28"/>
      </w:rPr>
    </w:pPr>
    <w:r>
      <w:rPr>
        <w:noProof/>
        <w:color w:val="000000"/>
      </w:rPr>
      <w:drawing>
        <wp:inline distT="114300" distB="114300" distL="114300" distR="114300" wp14:anchorId="01DA21FD" wp14:editId="01DA21FE">
          <wp:extent cx="8686800" cy="177800"/>
          <wp:effectExtent l="0" t="0" r="0" b="0"/>
          <wp:docPr id="209019977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86800" cy="177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D5D9C"/>
    <w:multiLevelType w:val="multilevel"/>
    <w:tmpl w:val="C6ECFAD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8A67A7"/>
    <w:multiLevelType w:val="multilevel"/>
    <w:tmpl w:val="A0FA2C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F7A3997"/>
    <w:multiLevelType w:val="multilevel"/>
    <w:tmpl w:val="318C53E8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507140922">
    <w:abstractNumId w:val="0"/>
  </w:num>
  <w:num w:numId="2" w16cid:durableId="2057007650">
    <w:abstractNumId w:val="2"/>
  </w:num>
  <w:num w:numId="3" w16cid:durableId="699286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494"/>
    <w:rsid w:val="000D4897"/>
    <w:rsid w:val="006416A3"/>
    <w:rsid w:val="006F3494"/>
    <w:rsid w:val="009C7EFB"/>
    <w:rsid w:val="00CE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DA21C5"/>
  <w15:docId w15:val="{265D6BAD-F4AD-094A-8996-7EC9D68BC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rFonts w:ascii="PT Sans Narrow" w:eastAsia="PT Sans Narrow" w:hAnsi="PT Sans Narrow" w:cs="PT Sans Narrow"/>
      <w:b/>
      <w:color w:val="666666"/>
      <w:sz w:val="84"/>
      <w:szCs w:val="84"/>
    </w:rPr>
  </w:style>
  <w:style w:type="paragraph" w:customStyle="1" w:styleId="Normal0">
    <w:name w:val="Normal0"/>
    <w:qFormat/>
    <w:rsid w:val="001E0A94"/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HeaderChar"/>
    <w:uiPriority w:val="99"/>
    <w:unhideWhenUsed/>
    <w:rsid w:val="001E0A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0A94"/>
  </w:style>
  <w:style w:type="paragraph" w:styleId="Footer">
    <w:name w:val="footer"/>
    <w:basedOn w:val="Normal0"/>
    <w:link w:val="FooterChar"/>
    <w:uiPriority w:val="99"/>
    <w:unhideWhenUsed/>
    <w:rsid w:val="001E0A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0A94"/>
  </w:style>
  <w:style w:type="paragraph" w:customStyle="1" w:styleId="Title0">
    <w:name w:val="Title0"/>
    <w:basedOn w:val="Normal0"/>
    <w:next w:val="Normal0"/>
    <w:link w:val="TitleChar"/>
    <w:uiPriority w:val="10"/>
    <w:qFormat/>
    <w:rsid w:val="001E0A94"/>
    <w:rPr>
      <w:rFonts w:ascii="PT Sans Narrow" w:eastAsia="PT Sans Narrow" w:hAnsi="PT Sans Narrow" w:cs="PT Sans Narrow"/>
      <w:b/>
      <w:color w:val="666666"/>
      <w:sz w:val="84"/>
      <w:szCs w:val="84"/>
      <w:lang w:val="en"/>
    </w:rPr>
  </w:style>
  <w:style w:type="character" w:customStyle="1" w:styleId="TitleChar">
    <w:name w:val="Title Char"/>
    <w:basedOn w:val="DefaultParagraphFont"/>
    <w:link w:val="Title0"/>
    <w:uiPriority w:val="10"/>
    <w:rsid w:val="001E0A94"/>
    <w:rPr>
      <w:rFonts w:ascii="PT Sans Narrow" w:eastAsia="PT Sans Narrow" w:hAnsi="PT Sans Narrow" w:cs="PT Sans Narrow"/>
      <w:b/>
      <w:color w:val="666666"/>
      <w:sz w:val="84"/>
      <w:szCs w:val="84"/>
      <w:lang w:val="en"/>
    </w:rPr>
  </w:style>
  <w:style w:type="character" w:styleId="PageNumber">
    <w:name w:val="page number"/>
    <w:basedOn w:val="DefaultParagraphFont"/>
    <w:uiPriority w:val="99"/>
    <w:semiHidden/>
    <w:unhideWhenUsed/>
    <w:rsid w:val="001E0A94"/>
  </w:style>
  <w:style w:type="table" w:styleId="TableGrid">
    <w:name w:val="Table Grid"/>
    <w:basedOn w:val="NormalTable0"/>
    <w:uiPriority w:val="39"/>
    <w:rsid w:val="001E0A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0"/>
    <w:uiPriority w:val="34"/>
    <w:qFormat/>
    <w:rsid w:val="001E0A94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1E0A94"/>
    <w:rPr>
      <w:sz w:val="16"/>
      <w:szCs w:val="16"/>
    </w:rPr>
  </w:style>
  <w:style w:type="paragraph" w:styleId="CommentText">
    <w:name w:val="annotation text"/>
    <w:basedOn w:val="Normal0"/>
    <w:link w:val="CommentTextChar"/>
    <w:uiPriority w:val="99"/>
    <w:semiHidden/>
    <w:unhideWhenUsed/>
    <w:rsid w:val="001E0A94"/>
    <w:pPr>
      <w:spacing w:before="120"/>
    </w:pPr>
    <w:rPr>
      <w:rFonts w:ascii="Open Sans" w:eastAsia="Open Sans" w:hAnsi="Open Sans" w:cs="Open Sans"/>
      <w:color w:val="695D46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A94"/>
    <w:rPr>
      <w:rFonts w:ascii="Open Sans" w:eastAsia="Open Sans" w:hAnsi="Open Sans" w:cs="Open Sans"/>
      <w:color w:val="695D46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762E"/>
    <w:pPr>
      <w:spacing w:before="0"/>
    </w:pPr>
    <w:rPr>
      <w:rFonts w:ascii="Times New Roman" w:eastAsia="Times New Roman" w:hAnsi="Times New Roman" w:cs="Times New Roman"/>
      <w:b/>
      <w:bCs/>
      <w:color w:val="auto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762E"/>
    <w:rPr>
      <w:rFonts w:ascii="Times New Roman" w:eastAsia="Times New Roman" w:hAnsi="Times New Roman" w:cs="Times New Roman"/>
      <w:b/>
      <w:bCs/>
      <w:color w:val="695D46"/>
      <w:sz w:val="20"/>
      <w:szCs w:val="20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</w:tblPr>
  </w:style>
  <w:style w:type="table" w:customStyle="1" w:styleId="a0">
    <w:basedOn w:val="NormalTable0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xmglFkyiqDVnsX3XVqOfqNFruQ==">CgMxLjA4AHINMTI3NTI2Njg5MzYwMQ==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Maldonado</dc:creator>
  <cp:lastModifiedBy>Sara Hoffman</cp:lastModifiedBy>
  <cp:revision>3</cp:revision>
  <dcterms:created xsi:type="dcterms:W3CDTF">2022-09-30T18:43:00Z</dcterms:created>
  <dcterms:modified xsi:type="dcterms:W3CDTF">2024-06-11T21:02:00Z</dcterms:modified>
</cp:coreProperties>
</file>